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7E1" w:rsidRDefault="00E13FC6">
      <w:pPr>
        <w:widowControl w:val="0"/>
        <w:tabs>
          <w:tab w:val="left" w:leader="underscore" w:pos="10002"/>
          <w:tab w:val="left" w:leader="underscore" w:pos="20004"/>
        </w:tabs>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xml:space="preserve"> </w:t>
      </w:r>
      <w:r>
        <w:rPr>
          <w:rFonts w:ascii="serif" w:hAnsi="serif" w:cs="serif"/>
          <w:color w:val="000000"/>
          <w:sz w:val="24"/>
          <w:szCs w:val="24"/>
        </w:rPr>
        <w:tab/>
      </w:r>
    </w:p>
    <w:p w:rsidR="00000000" w:rsidRDefault="00E13FC6">
      <w:pPr>
        <w:widowControl w:val="0"/>
        <w:tabs>
          <w:tab w:val="left" w:leader="underscore" w:pos="10002"/>
          <w:tab w:val="left" w:leader="underscore" w:pos="20004"/>
        </w:tabs>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xml:space="preserve"> </w:t>
      </w:r>
      <w:r>
        <w:rPr>
          <w:rFonts w:ascii="serif" w:hAnsi="serif" w:cs="serif"/>
          <w:color w:val="000000"/>
          <w:sz w:val="24"/>
          <w:szCs w:val="24"/>
        </w:rPr>
        <w:tab/>
        <w:t xml:space="preserve"> </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b/>
          <w:bCs/>
          <w:color w:val="000000"/>
          <w:sz w:val="32"/>
          <w:szCs w:val="32"/>
        </w:rPr>
        <w:t>UNITED STATES</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b/>
          <w:bCs/>
          <w:color w:val="000000"/>
          <w:sz w:val="32"/>
          <w:szCs w:val="32"/>
        </w:rPr>
        <w:t>SECURITIES AND EXCHANGE COMMISSION</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b/>
          <w:bCs/>
          <w:color w:val="000000"/>
          <w:sz w:val="20"/>
          <w:szCs w:val="20"/>
        </w:rPr>
        <w:t>WASHINGTON D.C. 20549</w:t>
      </w:r>
      <w:r>
        <w:rPr>
          <w:rFonts w:ascii="serif" w:hAnsi="serif" w:cs="serif"/>
          <w:color w:val="000000"/>
          <w:sz w:val="24"/>
          <w:szCs w:val="24"/>
        </w:rPr>
        <w:t> </w:t>
      </w:r>
    </w:p>
    <w:p w:rsidR="00000000" w:rsidRDefault="00E13FC6">
      <w:pPr>
        <w:widowControl w:val="0"/>
        <w:tabs>
          <w:tab w:val="left" w:leader="underscore" w:pos="10002"/>
        </w:tabs>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xml:space="preserve"> </w:t>
      </w:r>
      <w:r>
        <w:rPr>
          <w:rFonts w:ascii="serif" w:hAnsi="serif" w:cs="serif"/>
          <w:color w:val="000000"/>
          <w:sz w:val="24"/>
          <w:szCs w:val="24"/>
        </w:rPr>
        <w:tab/>
        <w:t xml:space="preserve"> </w:t>
      </w:r>
    </w:p>
    <w:p w:rsidR="00000000" w:rsidRDefault="00E13FC6">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olor w:val="000000"/>
          <w:sz w:val="20"/>
          <w:szCs w:val="20"/>
        </w:rPr>
        <w:t> </w:t>
      </w:r>
    </w:p>
    <w:p w:rsidR="00000000" w:rsidRDefault="00E13FC6" w:rsidP="00A727E1">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b/>
          <w:bCs/>
          <w:color w:val="000000"/>
          <w:sz w:val="36"/>
          <w:szCs w:val="36"/>
        </w:rPr>
        <w:t>FORM 10-Q</w:t>
      </w:r>
      <w:r>
        <w:rPr>
          <w:rFonts w:ascii="serif" w:hAnsi="serif" w:cs="serif"/>
          <w:color w:val="000000"/>
          <w:sz w:val="24"/>
          <w:szCs w:val="24"/>
        </w:rPr>
        <w:t> </w:t>
      </w:r>
    </w:p>
    <w:p w:rsidR="00000000" w:rsidRDefault="00E13FC6">
      <w:pPr>
        <w:widowControl w:val="0"/>
        <w:tabs>
          <w:tab w:val="left" w:leader="underscore" w:pos="10002"/>
        </w:tabs>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xml:space="preserve"> </w:t>
      </w:r>
      <w:r>
        <w:rPr>
          <w:rFonts w:ascii="serif" w:hAnsi="serif" w:cs="serif"/>
          <w:color w:val="000000"/>
          <w:sz w:val="24"/>
          <w:szCs w:val="24"/>
        </w:rPr>
        <w:tab/>
        <w:t xml:space="preserve"> </w:t>
      </w:r>
    </w:p>
    <w:p w:rsidR="00000000" w:rsidRDefault="00E13FC6">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Layout w:type="fixed"/>
        <w:tblCellMar>
          <w:left w:w="0" w:type="dxa"/>
          <w:right w:w="0" w:type="dxa"/>
        </w:tblCellMar>
        <w:tblLook w:val="0000" w:firstRow="0" w:lastRow="0" w:firstColumn="0" w:lastColumn="0" w:noHBand="0" w:noVBand="0"/>
      </w:tblPr>
      <w:tblGrid>
        <w:gridCol w:w="313"/>
        <w:gridCol w:w="10153"/>
      </w:tblGrid>
      <w:tr w:rsidR="00000000" w:rsidRPr="00E13FC6">
        <w:tblPrEx>
          <w:tblCellMar>
            <w:top w:w="0" w:type="dxa"/>
            <w:left w:w="0" w:type="dxa"/>
            <w:bottom w:w="0" w:type="dxa"/>
            <w:right w:w="0" w:type="dxa"/>
          </w:tblCellMar>
        </w:tblPrEx>
        <w:tc>
          <w:tcPr>
            <w:tcW w:w="313"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Wingdings" w:hAnsi="Wingdings" w:cs="Wingdings"/>
                <w:color w:val="000000"/>
                <w:sz w:val="20"/>
                <w:szCs w:val="20"/>
              </w:rPr>
              <w:t></w:t>
            </w:r>
          </w:p>
        </w:tc>
        <w:tc>
          <w:tcPr>
            <w:tcW w:w="10153"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b/>
                <w:bCs/>
                <w:color w:val="000000"/>
                <w:sz w:val="20"/>
                <w:szCs w:val="20"/>
              </w:rPr>
              <w:t>QUARTERLY R</w:t>
            </w:r>
            <w:r w:rsidRPr="00E13FC6">
              <w:rPr>
                <w:rFonts w:ascii="Times New Roman" w:hAnsi="Times New Roman"/>
                <w:b/>
                <w:bCs/>
                <w:color w:val="000000"/>
                <w:sz w:val="20"/>
                <w:szCs w:val="20"/>
              </w:rPr>
              <w:t>EPORT PURSUANT TO SECTION 13 OR 15(d) OF THE SECURITIES EXCHANGE ACT OF 1934</w:t>
            </w:r>
          </w:p>
        </w:tc>
      </w:tr>
    </w:tbl>
    <w:p w:rsidR="00000000" w:rsidRDefault="00E13FC6">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olor w:val="000000"/>
          <w:sz w:val="20"/>
          <w:szCs w:val="20"/>
        </w:rPr>
        <w:t> </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b/>
          <w:bCs/>
          <w:color w:val="000000"/>
          <w:sz w:val="20"/>
          <w:szCs w:val="20"/>
        </w:rPr>
        <w:t>For the quarterly period ended March 31, 2013</w:t>
      </w:r>
    </w:p>
    <w:p w:rsidR="00000000" w:rsidRDefault="00E13FC6">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olor w:val="000000"/>
          <w:sz w:val="20"/>
          <w:szCs w:val="20"/>
        </w:rPr>
        <w:t> </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b/>
          <w:bCs/>
          <w:color w:val="000000"/>
          <w:sz w:val="20"/>
          <w:szCs w:val="20"/>
        </w:rPr>
        <w:t>OR</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313"/>
        <w:gridCol w:w="10153"/>
      </w:tblGrid>
      <w:tr w:rsidR="00000000" w:rsidRPr="00E13FC6">
        <w:tblPrEx>
          <w:tblCellMar>
            <w:top w:w="0" w:type="dxa"/>
            <w:left w:w="0" w:type="dxa"/>
            <w:bottom w:w="0" w:type="dxa"/>
            <w:right w:w="0" w:type="dxa"/>
          </w:tblCellMar>
        </w:tblPrEx>
        <w:tc>
          <w:tcPr>
            <w:tcW w:w="313"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Wingdings" w:hAnsi="Wingdings" w:cs="Wingdings"/>
                <w:b/>
                <w:bCs/>
                <w:color w:val="000000"/>
                <w:sz w:val="20"/>
                <w:szCs w:val="20"/>
              </w:rPr>
              <w:t></w:t>
            </w:r>
          </w:p>
        </w:tc>
        <w:tc>
          <w:tcPr>
            <w:tcW w:w="10153"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b/>
                <w:bCs/>
                <w:color w:val="000000"/>
                <w:sz w:val="20"/>
                <w:szCs w:val="20"/>
              </w:rPr>
              <w:t>TRANSITION REPORT PURSUANT TO SECTION 13 OR 15(d) OF THE SECURITIES EXCHANGE ACT OF 1934</w:t>
            </w:r>
          </w:p>
        </w:tc>
      </w:tr>
    </w:tbl>
    <w:p w:rsidR="00000000" w:rsidRDefault="00E13FC6">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b/>
          <w:bCs/>
          <w:color w:val="000000"/>
          <w:sz w:val="20"/>
          <w:szCs w:val="20"/>
        </w:rPr>
        <w:t xml:space="preserve">Commission File No. </w:t>
      </w:r>
      <w:r>
        <w:rPr>
          <w:rFonts w:ascii="Times New Roman" w:hAnsi="Times New Roman"/>
          <w:b/>
          <w:bCs/>
          <w:color w:val="000000"/>
          <w:sz w:val="20"/>
          <w:szCs w:val="20"/>
          <w:u w:val="single" w:color="000000"/>
        </w:rPr>
        <w:t>000-33173</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olor w:val="000000"/>
          <w:sz w:val="20"/>
          <w:szCs w:val="20"/>
        </w:rPr>
        <w:t> </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b/>
          <w:bCs/>
          <w:color w:val="000000"/>
          <w:sz w:val="36"/>
          <w:szCs w:val="36"/>
          <w:u w:val="single" w:color="000000"/>
        </w:rPr>
        <w:t>Moller International, Inc.</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olor w:val="000000"/>
          <w:sz w:val="20"/>
          <w:szCs w:val="20"/>
        </w:rPr>
        <w:t>(Exact name of registrant as specified in its charter)</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4256"/>
        <w:gridCol w:w="1954"/>
        <w:gridCol w:w="4256"/>
      </w:tblGrid>
      <w:tr w:rsidR="00000000" w:rsidRPr="00E13FC6">
        <w:tblPrEx>
          <w:tblCellMar>
            <w:top w:w="0" w:type="dxa"/>
            <w:left w:w="0" w:type="dxa"/>
            <w:bottom w:w="0" w:type="dxa"/>
            <w:right w:w="0" w:type="dxa"/>
          </w:tblCellMar>
        </w:tblPrEx>
        <w:tc>
          <w:tcPr>
            <w:tcW w:w="4256"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b/>
                <w:bCs/>
                <w:color w:val="000000"/>
                <w:sz w:val="20"/>
                <w:szCs w:val="20"/>
                <w:u w:val="single" w:color="000000"/>
              </w:rPr>
              <w:t>California</w:t>
            </w:r>
          </w:p>
        </w:tc>
        <w:tc>
          <w:tcPr>
            <w:tcW w:w="1954"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4256"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b/>
                <w:bCs/>
                <w:color w:val="000000"/>
                <w:sz w:val="20"/>
                <w:szCs w:val="20"/>
                <w:u w:val="single" w:color="000000"/>
              </w:rPr>
              <w:t>68-0006075</w:t>
            </w:r>
          </w:p>
        </w:tc>
      </w:tr>
      <w:tr w:rsidR="00000000" w:rsidRPr="00E13FC6">
        <w:tblPrEx>
          <w:tblCellMar>
            <w:top w:w="0" w:type="dxa"/>
            <w:left w:w="0" w:type="dxa"/>
            <w:bottom w:w="0" w:type="dxa"/>
            <w:right w:w="0" w:type="dxa"/>
          </w:tblCellMar>
        </w:tblPrEx>
        <w:tc>
          <w:tcPr>
            <w:tcW w:w="4256" w:type="dxa"/>
            <w:tcBorders>
              <w:top w:val="nil"/>
              <w:left w:val="nil"/>
              <w:bottom w:val="nil"/>
              <w:right w:val="nil"/>
            </w:tcBorders>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color w:val="000000"/>
                <w:sz w:val="20"/>
                <w:szCs w:val="20"/>
              </w:rPr>
              <w:t>(State or other jurisdiction of incorporation)</w:t>
            </w:r>
          </w:p>
        </w:tc>
        <w:tc>
          <w:tcPr>
            <w:tcW w:w="1954"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4256" w:type="dxa"/>
            <w:tcBorders>
              <w:top w:val="nil"/>
              <w:left w:val="nil"/>
              <w:bottom w:val="nil"/>
              <w:right w:val="nil"/>
            </w:tcBorders>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color w:val="000000"/>
                <w:sz w:val="20"/>
                <w:szCs w:val="20"/>
              </w:rPr>
              <w:t>(I.R.S. Employer Identification No.)</w:t>
            </w:r>
          </w:p>
        </w:tc>
      </w:tr>
      <w:tr w:rsidR="00000000" w:rsidRPr="00E13FC6">
        <w:tblPrEx>
          <w:tblCellMar>
            <w:top w:w="0" w:type="dxa"/>
            <w:left w:w="0" w:type="dxa"/>
            <w:bottom w:w="0" w:type="dxa"/>
            <w:right w:w="0" w:type="dxa"/>
          </w:tblCellMar>
        </w:tblPrEx>
        <w:tc>
          <w:tcPr>
            <w:tcW w:w="4256"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954"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4256"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256" w:type="dxa"/>
            <w:tcBorders>
              <w:top w:val="nil"/>
              <w:left w:val="nil"/>
              <w:bottom w:val="nil"/>
              <w:right w:val="nil"/>
            </w:tcBorders>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b/>
                <w:bCs/>
                <w:color w:val="000000"/>
                <w:sz w:val="20"/>
                <w:szCs w:val="20"/>
                <w:u w:val="single" w:color="000000"/>
              </w:rPr>
              <w:t>1222 Research Park Drive, Davis CA</w:t>
            </w:r>
          </w:p>
        </w:tc>
        <w:tc>
          <w:tcPr>
            <w:tcW w:w="1954"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4256"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b/>
                <w:bCs/>
                <w:color w:val="000000"/>
                <w:sz w:val="20"/>
                <w:szCs w:val="20"/>
                <w:u w:val="single" w:color="000000"/>
              </w:rPr>
              <w:t>95618</w:t>
            </w:r>
          </w:p>
        </w:tc>
      </w:tr>
      <w:tr w:rsidR="00000000" w:rsidRPr="00E13FC6">
        <w:tblPrEx>
          <w:tblCellMar>
            <w:top w:w="0" w:type="dxa"/>
            <w:left w:w="0" w:type="dxa"/>
            <w:bottom w:w="0" w:type="dxa"/>
            <w:right w:w="0" w:type="dxa"/>
          </w:tblCellMar>
        </w:tblPrEx>
        <w:tc>
          <w:tcPr>
            <w:tcW w:w="4256" w:type="dxa"/>
            <w:tcBorders>
              <w:top w:val="nil"/>
              <w:left w:val="nil"/>
              <w:bottom w:val="nil"/>
              <w:right w:val="nil"/>
            </w:tcBorders>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color w:val="000000"/>
                <w:sz w:val="20"/>
                <w:szCs w:val="20"/>
              </w:rPr>
              <w:t>(Address of Principal Executive Office)</w:t>
            </w:r>
          </w:p>
        </w:tc>
        <w:tc>
          <w:tcPr>
            <w:tcW w:w="1954"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4256" w:type="dxa"/>
            <w:tcBorders>
              <w:top w:val="nil"/>
              <w:left w:val="nil"/>
              <w:bottom w:val="nil"/>
              <w:right w:val="nil"/>
            </w:tcBorders>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color w:val="000000"/>
                <w:sz w:val="20"/>
                <w:szCs w:val="20"/>
              </w:rPr>
              <w:t>(Zip Code)</w:t>
            </w:r>
          </w:p>
        </w:tc>
      </w:tr>
    </w:tbl>
    <w:p w:rsidR="00000000" w:rsidRDefault="00E13FC6">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olor w:val="000000"/>
          <w:sz w:val="20"/>
          <w:szCs w:val="20"/>
        </w:rPr>
        <w:t> </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olor w:val="000000"/>
          <w:sz w:val="20"/>
          <w:szCs w:val="20"/>
        </w:rPr>
        <w:t>Registrant</w:t>
      </w:r>
      <w:r>
        <w:rPr>
          <w:rFonts w:ascii="Times New Roman" w:hAnsi="Times New Roman"/>
          <w:color w:val="000000"/>
          <w:sz w:val="20"/>
          <w:szCs w:val="20"/>
        </w:rPr>
        <w:t>’</w:t>
      </w:r>
      <w:r>
        <w:rPr>
          <w:rFonts w:ascii="Times New Roman" w:hAnsi="Times New Roman"/>
          <w:color w:val="000000"/>
          <w:sz w:val="20"/>
          <w:szCs w:val="20"/>
        </w:rPr>
        <w:t>s telephone number, including area code:</w:t>
      </w:r>
      <w:r>
        <w:rPr>
          <w:rFonts w:ascii="Times New Roman" w:hAnsi="Times New Roman"/>
          <w:b/>
          <w:bCs/>
          <w:color w:val="000000"/>
          <w:sz w:val="20"/>
          <w:szCs w:val="20"/>
        </w:rPr>
        <w:t> </w:t>
      </w:r>
      <w:r>
        <w:rPr>
          <w:rFonts w:ascii="Times New Roman" w:hAnsi="Times New Roman"/>
          <w:b/>
          <w:bCs/>
          <w:color w:val="000000"/>
          <w:sz w:val="20"/>
          <w:szCs w:val="20"/>
          <w:u w:val="single" w:color="000000"/>
        </w:rPr>
        <w:t>(530) 756-5086</w:t>
      </w:r>
    </w:p>
    <w:p w:rsidR="00000000" w:rsidRDefault="00E13FC6">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E13FC6">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olor w:val="000000"/>
          <w:sz w:val="20"/>
          <w:szCs w:val="20"/>
        </w:rPr>
        <w:t>Indicate by check mark whether the registrant (1) has filed all reports required to be filed by Section </w:t>
      </w:r>
      <w:r>
        <w:rPr>
          <w:rFonts w:ascii="Times New Roman" w:hAnsi="Times New Roman"/>
          <w:color w:val="000000"/>
          <w:sz w:val="20"/>
          <w:szCs w:val="20"/>
        </w:rPr>
        <w:t>13 or 15(d) of the Securities Exchange Act of 1934 during the preceding 12 months, and (2) has been subject to such filing requirements for the past 90 days.   Yes</w:t>
      </w:r>
      <w:proofErr w:type="gramStart"/>
      <w:r>
        <w:rPr>
          <w:rFonts w:ascii="Times New Roman" w:hAnsi="Times New Roman"/>
          <w:color w:val="000000"/>
          <w:sz w:val="20"/>
          <w:szCs w:val="20"/>
        </w:rPr>
        <w:t xml:space="preserve">  </w:t>
      </w:r>
      <w:r>
        <w:rPr>
          <w:rFonts w:ascii="Wingdings" w:hAnsi="Wingdings" w:cs="Wingdings"/>
          <w:color w:val="000000"/>
          <w:sz w:val="20"/>
          <w:szCs w:val="20"/>
        </w:rPr>
        <w:t></w:t>
      </w:r>
      <w:proofErr w:type="gramEnd"/>
      <w:r>
        <w:rPr>
          <w:rFonts w:ascii="Wingdings" w:hAnsi="Wingdings" w:cs="Wingdings"/>
          <w:color w:val="000000"/>
          <w:sz w:val="20"/>
          <w:szCs w:val="20"/>
        </w:rPr>
        <w:t></w:t>
      </w:r>
      <w:r>
        <w:rPr>
          <w:rFonts w:ascii="Times New Roman" w:hAnsi="Times New Roman"/>
          <w:color w:val="000000"/>
          <w:sz w:val="20"/>
          <w:szCs w:val="20"/>
        </w:rPr>
        <w:t xml:space="preserve">No </w:t>
      </w:r>
      <w:r>
        <w:rPr>
          <w:rFonts w:ascii="Wingdings" w:hAnsi="Wingdings" w:cs="Wingdings"/>
          <w:color w:val="000000"/>
          <w:sz w:val="20"/>
          <w:szCs w:val="20"/>
        </w:rPr>
        <w:t></w:t>
      </w:r>
    </w:p>
    <w:p w:rsidR="00000000" w:rsidRDefault="00E13FC6">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olor w:val="000000"/>
          <w:sz w:val="20"/>
          <w:szCs w:val="20"/>
        </w:rPr>
        <w:t> </w:t>
      </w:r>
    </w:p>
    <w:p w:rsidR="00000000" w:rsidRDefault="00E13FC6">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olor w:val="000000"/>
          <w:sz w:val="20"/>
          <w:szCs w:val="20"/>
        </w:rPr>
        <w:t>Indicate by check mark whether the registrant has submitted electronically and pos</w:t>
      </w:r>
      <w:r>
        <w:rPr>
          <w:rFonts w:ascii="Times New Roman" w:hAnsi="Times New Roman"/>
          <w:color w:val="000000"/>
          <w:sz w:val="20"/>
          <w:szCs w:val="20"/>
        </w:rPr>
        <w:t>ted on its corporate Web site, if any, every Interactive Data File required to be submitted and posted pursuant to Rule 405 of Regulation S-T (§232.405 of this chapter) during the preceding 12 months (or for such shorter period that the registrant was requ</w:t>
      </w:r>
      <w:r>
        <w:rPr>
          <w:rFonts w:ascii="Times New Roman" w:hAnsi="Times New Roman"/>
          <w:color w:val="000000"/>
          <w:sz w:val="20"/>
          <w:szCs w:val="20"/>
        </w:rPr>
        <w:t>ired to submit and post such files).  Yes </w:t>
      </w:r>
      <w:r>
        <w:rPr>
          <w:rFonts w:ascii="Wingdings" w:hAnsi="Wingdings" w:cs="Wingdings"/>
          <w:color w:val="000000"/>
          <w:sz w:val="20"/>
          <w:szCs w:val="20"/>
        </w:rPr>
        <w:t></w:t>
      </w:r>
      <w:r>
        <w:rPr>
          <w:rFonts w:ascii="Times New Roman" w:hAnsi="Times New Roman"/>
          <w:color w:val="000000"/>
          <w:sz w:val="20"/>
          <w:szCs w:val="20"/>
        </w:rPr>
        <w:t>     No </w:t>
      </w:r>
      <w:r>
        <w:rPr>
          <w:rFonts w:ascii="Wingdings" w:hAnsi="Wingdings" w:cs="Wingdings"/>
          <w:color w:val="000000"/>
          <w:sz w:val="20"/>
          <w:szCs w:val="20"/>
        </w:rPr>
        <w:t></w:t>
      </w:r>
    </w:p>
    <w:p w:rsidR="00000000" w:rsidRDefault="00E13FC6">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olor w:val="000000"/>
          <w:sz w:val="20"/>
          <w:szCs w:val="20"/>
        </w:rPr>
        <w:t> </w:t>
      </w:r>
    </w:p>
    <w:p w:rsidR="00000000" w:rsidRDefault="00E13FC6">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olor w:val="000000"/>
          <w:sz w:val="20"/>
          <w:szCs w:val="20"/>
        </w:rPr>
        <w:t xml:space="preserve">Indicate by check mark whether the registrant is a large accelerated filer, an accelerated filer, a non-accelerated filer, or a smaller reporting company. See the definitions of </w:t>
      </w:r>
      <w:r>
        <w:rPr>
          <w:rFonts w:ascii="Times New Roman" w:hAnsi="Times New Roman"/>
          <w:color w:val="000000"/>
          <w:sz w:val="20"/>
          <w:szCs w:val="20"/>
        </w:rPr>
        <w:t>“</w:t>
      </w:r>
      <w:r>
        <w:rPr>
          <w:rFonts w:ascii="Times New Roman" w:hAnsi="Times New Roman"/>
          <w:color w:val="000000"/>
          <w:sz w:val="20"/>
          <w:szCs w:val="20"/>
        </w:rPr>
        <w:t>large accelerated file</w:t>
      </w:r>
      <w:r>
        <w:rPr>
          <w:rFonts w:ascii="Times New Roman" w:hAnsi="Times New Roman"/>
          <w:color w:val="000000"/>
          <w:sz w:val="20"/>
          <w:szCs w:val="20"/>
        </w:rPr>
        <w:t>r,</w:t>
      </w:r>
      <w:r>
        <w:rPr>
          <w:rFonts w:ascii="Times New Roman" w:hAnsi="Times New Roman"/>
          <w:color w:val="000000"/>
          <w:sz w:val="20"/>
          <w:szCs w:val="20"/>
        </w:rPr>
        <w:t>”</w:t>
      </w:r>
      <w:r>
        <w:rPr>
          <w:rFonts w:ascii="Times New Roman" w:hAnsi="Times New Roman"/>
          <w:color w:val="000000"/>
          <w:sz w:val="20"/>
          <w:szCs w:val="20"/>
        </w:rPr>
        <w:t xml:space="preserve"> </w:t>
      </w:r>
      <w:r>
        <w:rPr>
          <w:rFonts w:ascii="Times New Roman" w:hAnsi="Times New Roman"/>
          <w:color w:val="000000"/>
          <w:sz w:val="20"/>
          <w:szCs w:val="20"/>
        </w:rPr>
        <w:t>“</w:t>
      </w:r>
      <w:r>
        <w:rPr>
          <w:rFonts w:ascii="Times New Roman" w:hAnsi="Times New Roman"/>
          <w:color w:val="000000"/>
          <w:sz w:val="20"/>
          <w:szCs w:val="20"/>
        </w:rPr>
        <w:t>accelerated filer</w:t>
      </w:r>
      <w:r>
        <w:rPr>
          <w:rFonts w:ascii="Times New Roman" w:hAnsi="Times New Roman"/>
          <w:color w:val="000000"/>
          <w:sz w:val="20"/>
          <w:szCs w:val="20"/>
        </w:rPr>
        <w:t>”</w:t>
      </w:r>
      <w:r>
        <w:rPr>
          <w:rFonts w:ascii="Times New Roman" w:hAnsi="Times New Roman"/>
          <w:color w:val="000000"/>
          <w:sz w:val="20"/>
          <w:szCs w:val="20"/>
        </w:rPr>
        <w:t xml:space="preserve"> and </w:t>
      </w:r>
      <w:r>
        <w:rPr>
          <w:rFonts w:ascii="Times New Roman" w:hAnsi="Times New Roman"/>
          <w:color w:val="000000"/>
          <w:sz w:val="20"/>
          <w:szCs w:val="20"/>
        </w:rPr>
        <w:t>“</w:t>
      </w:r>
      <w:r>
        <w:rPr>
          <w:rFonts w:ascii="Times New Roman" w:hAnsi="Times New Roman"/>
          <w:color w:val="000000"/>
          <w:sz w:val="20"/>
          <w:szCs w:val="20"/>
        </w:rPr>
        <w:t>smaller reporting company</w:t>
      </w:r>
      <w:r>
        <w:rPr>
          <w:rFonts w:ascii="Times New Roman" w:hAnsi="Times New Roman"/>
          <w:color w:val="000000"/>
          <w:sz w:val="20"/>
          <w:szCs w:val="20"/>
        </w:rPr>
        <w:t>”</w:t>
      </w:r>
      <w:r>
        <w:rPr>
          <w:rFonts w:ascii="Times New Roman" w:hAnsi="Times New Roman"/>
          <w:color w:val="000000"/>
          <w:sz w:val="20"/>
          <w:szCs w:val="20"/>
        </w:rPr>
        <w:t xml:space="preserve"> in Rule 12b-2 of the Exchange Act. (Check one):</w:t>
      </w:r>
    </w:p>
    <w:p w:rsidR="00000000" w:rsidRDefault="00E13FC6">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4431"/>
        <w:gridCol w:w="3907"/>
        <w:gridCol w:w="2128"/>
      </w:tblGrid>
      <w:tr w:rsidR="00000000" w:rsidRPr="00E13FC6">
        <w:tblPrEx>
          <w:tblCellMar>
            <w:top w:w="0" w:type="dxa"/>
            <w:left w:w="0" w:type="dxa"/>
            <w:bottom w:w="0" w:type="dxa"/>
            <w:right w:w="0" w:type="dxa"/>
          </w:tblCellMar>
        </w:tblPrEx>
        <w:tc>
          <w:tcPr>
            <w:tcW w:w="4431" w:type="dxa"/>
            <w:tcBorders>
              <w:top w:val="nil"/>
              <w:left w:val="nil"/>
              <w:bottom w:val="nil"/>
              <w:right w:val="nil"/>
            </w:tcBorders>
            <w:vAlign w:val="center"/>
          </w:tcPr>
          <w:p w:rsidR="00000000" w:rsidRPr="00E13FC6" w:rsidRDefault="00E13FC6">
            <w:pPr>
              <w:widowControl w:val="0"/>
              <w:autoSpaceDE w:val="0"/>
              <w:autoSpaceDN w:val="0"/>
              <w:adjustRightInd w:val="0"/>
              <w:spacing w:after="0" w:line="240" w:lineRule="auto"/>
              <w:ind w:left="720"/>
              <w:rPr>
                <w:rFonts w:ascii="Times New Roman" w:hAnsi="Times New Roman"/>
                <w:color w:val="000000"/>
                <w:sz w:val="20"/>
                <w:szCs w:val="20"/>
              </w:rPr>
            </w:pPr>
            <w:r w:rsidRPr="00E13FC6">
              <w:rPr>
                <w:rFonts w:ascii="Times New Roman" w:hAnsi="Times New Roman"/>
                <w:color w:val="000000"/>
                <w:sz w:val="20"/>
                <w:szCs w:val="20"/>
              </w:rPr>
              <w:t>Large accelerated filer  </w:t>
            </w:r>
            <w:r w:rsidRPr="00E13FC6">
              <w:rPr>
                <w:rFonts w:ascii="Wingdings" w:hAnsi="Wingdings" w:cs="Wingdings"/>
                <w:color w:val="000000"/>
                <w:sz w:val="20"/>
                <w:szCs w:val="20"/>
              </w:rPr>
              <w:t></w:t>
            </w:r>
            <w:r w:rsidRPr="00E13FC6">
              <w:rPr>
                <w:rFonts w:ascii="Wingdings" w:hAnsi="Wingdings" w:cs="Wingdings"/>
                <w:color w:val="000000"/>
                <w:sz w:val="20"/>
                <w:szCs w:val="20"/>
              </w:rPr>
              <w:t></w:t>
            </w:r>
          </w:p>
        </w:tc>
        <w:tc>
          <w:tcPr>
            <w:tcW w:w="3907" w:type="dxa"/>
            <w:tcBorders>
              <w:top w:val="nil"/>
              <w:left w:val="nil"/>
              <w:bottom w:val="nil"/>
              <w:right w:val="nil"/>
            </w:tcBorders>
            <w:vAlign w:val="center"/>
          </w:tcPr>
          <w:p w:rsidR="00000000" w:rsidRPr="00E13FC6" w:rsidRDefault="00E13FC6">
            <w:pPr>
              <w:widowControl w:val="0"/>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Accelerated filer  </w:t>
            </w:r>
            <w:r w:rsidRPr="00E13FC6">
              <w:rPr>
                <w:rFonts w:ascii="Wingdings" w:hAnsi="Wingdings" w:cs="Wingdings"/>
                <w:color w:val="000000"/>
                <w:sz w:val="20"/>
                <w:szCs w:val="20"/>
              </w:rPr>
              <w:t></w:t>
            </w:r>
            <w:r w:rsidRPr="00E13FC6">
              <w:rPr>
                <w:rFonts w:ascii="Wingdings" w:hAnsi="Wingdings" w:cs="Wingdings"/>
                <w:color w:val="000000"/>
                <w:sz w:val="20"/>
                <w:szCs w:val="20"/>
              </w:rPr>
              <w:t></w:t>
            </w:r>
          </w:p>
        </w:tc>
        <w:tc>
          <w:tcPr>
            <w:tcW w:w="2128" w:type="dxa"/>
            <w:tcBorders>
              <w:top w:val="nil"/>
              <w:left w:val="nil"/>
              <w:bottom w:val="nil"/>
              <w:right w:val="nil"/>
            </w:tcBorders>
            <w:vAlign w:val="center"/>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431" w:type="dxa"/>
            <w:tcBorders>
              <w:top w:val="nil"/>
              <w:left w:val="nil"/>
              <w:bottom w:val="nil"/>
              <w:right w:val="nil"/>
            </w:tcBorders>
            <w:vAlign w:val="center"/>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3907" w:type="dxa"/>
            <w:tcBorders>
              <w:top w:val="nil"/>
              <w:left w:val="nil"/>
              <w:bottom w:val="nil"/>
              <w:right w:val="nil"/>
            </w:tcBorders>
            <w:vAlign w:val="center"/>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2128" w:type="dxa"/>
            <w:tcBorders>
              <w:top w:val="nil"/>
              <w:left w:val="nil"/>
              <w:bottom w:val="nil"/>
              <w:right w:val="nil"/>
            </w:tcBorders>
            <w:vAlign w:val="center"/>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431" w:type="dxa"/>
            <w:tcBorders>
              <w:top w:val="nil"/>
              <w:left w:val="nil"/>
              <w:bottom w:val="nil"/>
              <w:right w:val="nil"/>
            </w:tcBorders>
            <w:vAlign w:val="center"/>
          </w:tcPr>
          <w:p w:rsidR="00000000" w:rsidRPr="00E13FC6" w:rsidRDefault="00E13FC6">
            <w:pPr>
              <w:widowControl w:val="0"/>
              <w:autoSpaceDE w:val="0"/>
              <w:autoSpaceDN w:val="0"/>
              <w:adjustRightInd w:val="0"/>
              <w:spacing w:after="0" w:line="240" w:lineRule="auto"/>
              <w:ind w:firstLine="720"/>
              <w:rPr>
                <w:rFonts w:ascii="Times New Roman" w:hAnsi="Times New Roman"/>
                <w:color w:val="000000"/>
                <w:sz w:val="20"/>
                <w:szCs w:val="20"/>
              </w:rPr>
            </w:pPr>
            <w:r w:rsidRPr="00E13FC6">
              <w:rPr>
                <w:rFonts w:ascii="Times New Roman" w:hAnsi="Times New Roman"/>
                <w:color w:val="000000"/>
                <w:sz w:val="20"/>
                <w:szCs w:val="20"/>
              </w:rPr>
              <w:t>Non-accelerated filer        </w:t>
            </w:r>
            <w:r w:rsidRPr="00E13FC6">
              <w:rPr>
                <w:rFonts w:ascii="Wingdings" w:hAnsi="Wingdings" w:cs="Wingdings"/>
                <w:color w:val="000000"/>
                <w:sz w:val="20"/>
                <w:szCs w:val="20"/>
              </w:rPr>
              <w:t></w:t>
            </w:r>
          </w:p>
          <w:p w:rsidR="00000000" w:rsidRPr="00E13FC6" w:rsidRDefault="00E13FC6">
            <w:pPr>
              <w:widowControl w:val="0"/>
              <w:autoSpaceDE w:val="0"/>
              <w:autoSpaceDN w:val="0"/>
              <w:adjustRightInd w:val="0"/>
              <w:spacing w:after="0" w:line="240" w:lineRule="auto"/>
              <w:ind w:firstLine="720"/>
              <w:rPr>
                <w:rFonts w:ascii="Times New Roman" w:hAnsi="Times New Roman"/>
                <w:color w:val="000000"/>
                <w:sz w:val="20"/>
                <w:szCs w:val="20"/>
              </w:rPr>
            </w:pPr>
            <w:r w:rsidRPr="00E13FC6">
              <w:rPr>
                <w:rFonts w:ascii="Times New Roman" w:hAnsi="Times New Roman"/>
                <w:color w:val="000000"/>
                <w:sz w:val="20"/>
                <w:szCs w:val="20"/>
              </w:rPr>
              <w:t>(Do not check if a smaller reporting company)</w:t>
            </w:r>
          </w:p>
        </w:tc>
        <w:tc>
          <w:tcPr>
            <w:tcW w:w="3907" w:type="dxa"/>
            <w:tcBorders>
              <w:top w:val="nil"/>
              <w:left w:val="nil"/>
              <w:bottom w:val="nil"/>
              <w:right w:val="nil"/>
            </w:tcBorders>
            <w:vAlign w:val="center"/>
          </w:tcPr>
          <w:p w:rsidR="00000000" w:rsidRPr="00E13FC6" w:rsidRDefault="00E13FC6">
            <w:pPr>
              <w:widowControl w:val="0"/>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Smaller reporting company </w:t>
            </w:r>
            <w:r w:rsidRPr="00E13FC6">
              <w:rPr>
                <w:rFonts w:ascii="Wingdings" w:hAnsi="Wingdings" w:cs="Wingdings"/>
                <w:color w:val="000000"/>
                <w:sz w:val="20"/>
                <w:szCs w:val="20"/>
              </w:rPr>
              <w:t></w:t>
            </w:r>
            <w:r w:rsidRPr="00E13FC6">
              <w:rPr>
                <w:rFonts w:ascii="Wingdings" w:hAnsi="Wingdings" w:cs="Wingdings"/>
                <w:color w:val="000000"/>
                <w:sz w:val="20"/>
                <w:szCs w:val="20"/>
              </w:rPr>
              <w:t></w:t>
            </w:r>
          </w:p>
        </w:tc>
        <w:tc>
          <w:tcPr>
            <w:tcW w:w="2128" w:type="dxa"/>
            <w:tcBorders>
              <w:top w:val="nil"/>
              <w:left w:val="nil"/>
              <w:bottom w:val="nil"/>
              <w:right w:val="nil"/>
            </w:tcBorders>
            <w:vAlign w:val="center"/>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bl>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olor w:val="000000"/>
          <w:sz w:val="20"/>
          <w:szCs w:val="20"/>
        </w:rPr>
        <w:t>                                                                                                                 </w:t>
      </w:r>
    </w:p>
    <w:p w:rsidR="00000000" w:rsidRDefault="00E13FC6">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olor w:val="000000"/>
          <w:sz w:val="20"/>
          <w:szCs w:val="20"/>
        </w:rPr>
        <w:t>Indicate by check mark whether the registrant is a shell company (as defined in Rule 12b-2 of the Exchange Ac</w:t>
      </w:r>
      <w:r>
        <w:rPr>
          <w:rFonts w:ascii="Times New Roman" w:hAnsi="Times New Roman"/>
          <w:color w:val="000000"/>
          <w:sz w:val="20"/>
          <w:szCs w:val="20"/>
        </w:rPr>
        <w:t>t).  Yes </w:t>
      </w:r>
      <w:r>
        <w:rPr>
          <w:rFonts w:ascii="Wingdings" w:hAnsi="Wingdings" w:cs="Wingdings"/>
          <w:color w:val="000000"/>
          <w:sz w:val="20"/>
          <w:szCs w:val="20"/>
        </w:rPr>
        <w:t></w:t>
      </w:r>
      <w:r>
        <w:rPr>
          <w:rFonts w:ascii="Times New Roman" w:hAnsi="Times New Roman"/>
          <w:color w:val="000000"/>
          <w:sz w:val="20"/>
          <w:szCs w:val="20"/>
        </w:rPr>
        <w:t>     No</w:t>
      </w:r>
      <w:proofErr w:type="gramStart"/>
      <w:r>
        <w:rPr>
          <w:rFonts w:ascii="Times New Roman" w:hAnsi="Times New Roman"/>
          <w:color w:val="000000"/>
          <w:sz w:val="20"/>
          <w:szCs w:val="20"/>
        </w:rPr>
        <w:t>  </w:t>
      </w:r>
      <w:r>
        <w:rPr>
          <w:rFonts w:ascii="Wingdings" w:hAnsi="Wingdings" w:cs="Wingdings"/>
          <w:color w:val="000000"/>
          <w:sz w:val="20"/>
          <w:szCs w:val="20"/>
        </w:rPr>
        <w:t></w:t>
      </w:r>
      <w:proofErr w:type="gramEnd"/>
    </w:p>
    <w:p w:rsidR="00000000" w:rsidRDefault="00E13FC6">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olor w:val="000000"/>
          <w:sz w:val="20"/>
          <w:szCs w:val="20"/>
        </w:rPr>
        <w:t> </w:t>
      </w:r>
    </w:p>
    <w:p w:rsidR="00000000" w:rsidRDefault="00E13FC6">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olor w:val="000000"/>
          <w:sz w:val="20"/>
          <w:szCs w:val="20"/>
        </w:rPr>
        <w:t>As of May 20, 2013, there were 49,076,716 shares of common stock outstanding.</w:t>
      </w:r>
    </w:p>
    <w:p w:rsidR="00000000" w:rsidRDefault="00E13FC6">
      <w:pPr>
        <w:widowControl w:val="0"/>
        <w:autoSpaceDE w:val="0"/>
        <w:autoSpaceDN w:val="0"/>
        <w:adjustRightInd w:val="0"/>
        <w:spacing w:after="0" w:line="240" w:lineRule="auto"/>
        <w:jc w:val="both"/>
        <w:rPr>
          <w:rFonts w:ascii="serif" w:hAnsi="serif" w:cs="serif"/>
          <w:color w:val="000000"/>
          <w:sz w:val="24"/>
          <w:szCs w:val="24"/>
        </w:rPr>
      </w:pPr>
      <w:r>
        <w:rPr>
          <w:rFonts w:ascii="serif" w:hAnsi="serif" w:cs="serif"/>
          <w:color w:val="000000"/>
          <w:sz w:val="24"/>
          <w:szCs w:val="24"/>
        </w:rPr>
        <w:t> </w:t>
      </w:r>
    </w:p>
    <w:p w:rsidR="00000000" w:rsidRDefault="00E13FC6">
      <w:pPr>
        <w:widowControl w:val="0"/>
        <w:autoSpaceDE w:val="0"/>
        <w:autoSpaceDN w:val="0"/>
        <w:adjustRightInd w:val="0"/>
        <w:spacing w:after="0" w:line="240" w:lineRule="auto"/>
        <w:rPr>
          <w:rFonts w:ascii="serif" w:hAnsi="serif" w:cs="serif"/>
          <w:color w:val="000000"/>
          <w:sz w:val="24"/>
          <w:szCs w:val="24"/>
        </w:rPr>
        <w:sectPr w:rsidR="00000000">
          <w:headerReference w:type="default" r:id="rId6"/>
          <w:footerReference w:type="default" r:id="rId7"/>
          <w:pgSz w:w="11906" w:h="16838"/>
          <w:pgMar w:top="720" w:right="720" w:bottom="720" w:left="720" w:header="720" w:footer="720" w:gutter="0"/>
          <w:cols w:space="720"/>
          <w:noEndnote/>
        </w:sectPr>
      </w:pPr>
    </w:p>
    <w:p w:rsidR="00000000" w:rsidRDefault="00E13FC6">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olor w:val="000000"/>
          <w:sz w:val="20"/>
          <w:szCs w:val="20"/>
        </w:rPr>
        <w:lastRenderedPageBreak/>
        <w:t> </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b/>
          <w:bCs/>
          <w:color w:val="000000"/>
          <w:sz w:val="20"/>
          <w:szCs w:val="20"/>
        </w:rPr>
        <w:t>TABLE OF CONTENTS</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10048"/>
        <w:gridCol w:w="418"/>
      </w:tblGrid>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418" w:type="dxa"/>
            <w:tcBorders>
              <w:top w:val="nil"/>
              <w:left w:val="nil"/>
              <w:bottom w:val="single" w:sz="8" w:space="0" w:color="000000"/>
              <w:right w:val="nil"/>
            </w:tcBorders>
          </w:tcPr>
          <w:p w:rsidR="00000000" w:rsidRPr="00E13FC6" w:rsidRDefault="00E13FC6">
            <w:pPr>
              <w:widowControl w:val="0"/>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b/>
                <w:bCs/>
                <w:color w:val="000000"/>
                <w:sz w:val="20"/>
                <w:szCs w:val="20"/>
              </w:rPr>
              <w:t>Page</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b/>
                <w:bCs/>
                <w:color w:val="000000"/>
                <w:sz w:val="20"/>
                <w:szCs w:val="20"/>
              </w:rPr>
              <w:t>PART I - FINANCIAL INFORMATION</w:t>
            </w:r>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hyperlink w:anchor="1" w:history="1">
              <w:r w:rsidRPr="00E13FC6">
                <w:rPr>
                  <w:rFonts w:ascii="Times New Roman" w:hAnsi="Times New Roman"/>
                  <w:color w:val="0000FF"/>
                  <w:sz w:val="20"/>
                  <w:szCs w:val="20"/>
                  <w:u w:val="single" w:color="0000FF"/>
                </w:rPr>
                <w:t>ITEM 1 – FINANCIAL STATEMENTS</w:t>
              </w:r>
            </w:hyperlink>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color w:val="000000"/>
                <w:sz w:val="20"/>
                <w:szCs w:val="20"/>
              </w:rPr>
              <w:t>1</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ind w:left="1440" w:hanging="720"/>
              <w:rPr>
                <w:rFonts w:ascii="Times New Roman" w:hAnsi="Times New Roman"/>
                <w:color w:val="000000"/>
                <w:sz w:val="20"/>
                <w:szCs w:val="20"/>
              </w:rPr>
            </w:pPr>
            <w:hyperlink w:anchor="bs" w:history="1">
              <w:r w:rsidRPr="00E13FC6">
                <w:rPr>
                  <w:rFonts w:ascii="Times New Roman" w:hAnsi="Times New Roman"/>
                  <w:color w:val="0000FF"/>
                  <w:sz w:val="20"/>
                  <w:szCs w:val="20"/>
                  <w:u w:val="single" w:color="0000FF"/>
                </w:rPr>
                <w:t>Unaudited Consolidated Balance Sheets as of March 31, 2013 and June 30, 2012</w:t>
              </w:r>
            </w:hyperlink>
          </w:p>
        </w:tc>
        <w:tc>
          <w:tcPr>
            <w:tcW w:w="418"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color w:val="000000"/>
                <w:sz w:val="20"/>
                <w:szCs w:val="20"/>
              </w:rPr>
              <w:t>1</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ind w:left="1440" w:hanging="720"/>
              <w:rPr>
                <w:rFonts w:ascii="Times New Roman" w:hAnsi="Times New Roman"/>
                <w:color w:val="000000"/>
                <w:sz w:val="20"/>
                <w:szCs w:val="20"/>
              </w:rPr>
            </w:pPr>
            <w:hyperlink w:anchor="ops" w:history="1">
              <w:r w:rsidRPr="00E13FC6">
                <w:rPr>
                  <w:rFonts w:ascii="Times New Roman" w:hAnsi="Times New Roman"/>
                  <w:color w:val="0000FF"/>
                  <w:sz w:val="20"/>
                  <w:szCs w:val="20"/>
                  <w:u w:val="single" w:color="0000FF"/>
                </w:rPr>
                <w:t>Unaudited Consolidated Statements of Operations for the three and nine-months ended March 31, 2013 and 2012</w:t>
              </w:r>
            </w:hyperlink>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color w:val="000000"/>
                <w:sz w:val="20"/>
                <w:szCs w:val="20"/>
              </w:rPr>
              <w:t>2</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ind w:left="1440" w:hanging="720"/>
              <w:rPr>
                <w:rFonts w:ascii="Times New Roman" w:hAnsi="Times New Roman"/>
                <w:color w:val="000000"/>
                <w:sz w:val="20"/>
                <w:szCs w:val="20"/>
              </w:rPr>
            </w:pPr>
            <w:hyperlink w:anchor="cf" w:history="1">
              <w:r w:rsidRPr="00E13FC6">
                <w:rPr>
                  <w:rFonts w:ascii="Times New Roman" w:hAnsi="Times New Roman"/>
                  <w:color w:val="0000FF"/>
                  <w:sz w:val="20"/>
                  <w:szCs w:val="20"/>
                  <w:u w:val="single" w:color="0000FF"/>
                </w:rPr>
                <w:t>Unaudited Consolidated Statements of Cash Flows for the nine-months ended March 31, 2013 and 2012</w:t>
              </w:r>
            </w:hyperlink>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color w:val="000000"/>
                <w:sz w:val="20"/>
                <w:szCs w:val="20"/>
              </w:rPr>
              <w:t>3</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ind w:left="1440" w:hanging="720"/>
              <w:rPr>
                <w:rFonts w:ascii="Times New Roman" w:hAnsi="Times New Roman"/>
                <w:color w:val="000000"/>
                <w:sz w:val="20"/>
                <w:szCs w:val="20"/>
              </w:rPr>
            </w:pPr>
            <w:hyperlink w:anchor="notes" w:history="1">
              <w:r w:rsidRPr="00E13FC6">
                <w:rPr>
                  <w:rFonts w:ascii="Times New Roman" w:hAnsi="Times New Roman"/>
                  <w:color w:val="0000FF"/>
                  <w:sz w:val="20"/>
                  <w:szCs w:val="20"/>
                  <w:u w:val="single" w:color="0000FF"/>
                </w:rPr>
                <w:t>Notes to Consolidated Unaudited Financial Statements</w:t>
              </w:r>
            </w:hyperlink>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color w:val="000000"/>
                <w:sz w:val="20"/>
                <w:szCs w:val="20"/>
              </w:rPr>
              <w:t>4</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ind w:left="720" w:hanging="720"/>
              <w:rPr>
                <w:rFonts w:ascii="Times New Roman" w:hAnsi="Times New Roman"/>
                <w:color w:val="000000"/>
                <w:sz w:val="20"/>
                <w:szCs w:val="20"/>
              </w:rPr>
            </w:pPr>
            <w:hyperlink w:anchor="2" w:history="1">
              <w:r w:rsidRPr="00E13FC6">
                <w:rPr>
                  <w:rFonts w:ascii="Times New Roman" w:hAnsi="Times New Roman"/>
                  <w:color w:val="0000FF"/>
                  <w:sz w:val="20"/>
                  <w:szCs w:val="20"/>
                  <w:u w:val="single" w:color="0000FF"/>
                </w:rPr>
                <w:t>ITEM 2 – MANAGEMENT'S DISCUSSION AND ANALYSIS OF FINANCIAL CO</w:t>
              </w:r>
              <w:r w:rsidRPr="00E13FC6">
                <w:rPr>
                  <w:rFonts w:ascii="Times New Roman" w:hAnsi="Times New Roman"/>
                  <w:color w:val="0000FF"/>
                  <w:sz w:val="20"/>
                  <w:szCs w:val="20"/>
                  <w:u w:val="single" w:color="0000FF"/>
                </w:rPr>
                <w:t>NDITION AND RESULTS OF   OPERATIONS</w:t>
              </w:r>
            </w:hyperlink>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color w:val="000000"/>
                <w:sz w:val="20"/>
                <w:szCs w:val="20"/>
              </w:rPr>
              <w:t>6</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ind w:left="720" w:hanging="720"/>
              <w:rPr>
                <w:rFonts w:ascii="Times New Roman" w:hAnsi="Times New Roman"/>
                <w:color w:val="000000"/>
                <w:sz w:val="20"/>
                <w:szCs w:val="20"/>
              </w:rPr>
            </w:pPr>
            <w:hyperlink w:anchor="3" w:history="1">
              <w:r w:rsidRPr="00E13FC6">
                <w:rPr>
                  <w:rFonts w:ascii="Times New Roman" w:hAnsi="Times New Roman"/>
                  <w:color w:val="0000FF"/>
                  <w:sz w:val="20"/>
                  <w:szCs w:val="20"/>
                  <w:u w:val="single" w:color="0000FF"/>
                </w:rPr>
                <w:t>ITEM 3 – QUALITATIVE AND QUANTITATIVE FACTORS CONCERNING MARKET RISKS</w:t>
              </w:r>
            </w:hyperlink>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color w:val="000000"/>
                <w:sz w:val="20"/>
                <w:szCs w:val="20"/>
              </w:rPr>
              <w:t>6</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hyperlink w:anchor="4" w:history="1">
              <w:r w:rsidRPr="00E13FC6">
                <w:rPr>
                  <w:rFonts w:ascii="Times New Roman" w:hAnsi="Times New Roman"/>
                  <w:color w:val="0000FF"/>
                  <w:sz w:val="20"/>
                  <w:szCs w:val="20"/>
                  <w:u w:val="single" w:color="0000FF"/>
                </w:rPr>
                <w:t>ITEM 4 – CONTROLS AND PROCEDURES</w:t>
              </w:r>
            </w:hyperlink>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color w:val="000000"/>
                <w:sz w:val="20"/>
                <w:szCs w:val="20"/>
              </w:rPr>
              <w:t>6</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b/>
                <w:bCs/>
                <w:color w:val="000000"/>
                <w:sz w:val="20"/>
                <w:szCs w:val="20"/>
              </w:rPr>
              <w:t>PART II - OTHER INFORMATION</w:t>
            </w:r>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hyperlink w:anchor="21" w:history="1">
              <w:r w:rsidRPr="00E13FC6">
                <w:rPr>
                  <w:rFonts w:ascii="Times New Roman" w:hAnsi="Times New Roman"/>
                  <w:color w:val="0000FF"/>
                  <w:sz w:val="20"/>
                  <w:szCs w:val="20"/>
                  <w:u w:val="single" w:color="0000FF"/>
                </w:rPr>
                <w:t>ITEM 1 –</w:t>
              </w:r>
              <w:r w:rsidRPr="00E13FC6">
                <w:rPr>
                  <w:rFonts w:ascii="Times New Roman" w:hAnsi="Times New Roman"/>
                  <w:color w:val="0000FF"/>
                  <w:sz w:val="20"/>
                  <w:szCs w:val="20"/>
                  <w:u w:val="single" w:color="0000FF"/>
                </w:rPr>
                <w:t xml:space="preserve"> LEGAL PROCEEDINGS</w:t>
              </w:r>
            </w:hyperlink>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color w:val="000000"/>
                <w:sz w:val="20"/>
                <w:szCs w:val="20"/>
              </w:rPr>
              <w:t>7</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hyperlink w:anchor="22" w:history="1">
              <w:r w:rsidRPr="00E13FC6">
                <w:rPr>
                  <w:rFonts w:ascii="Times New Roman" w:hAnsi="Times New Roman"/>
                  <w:color w:val="0000FF"/>
                  <w:sz w:val="20"/>
                  <w:szCs w:val="20"/>
                  <w:u w:val="single" w:color="0000FF"/>
                </w:rPr>
                <w:t>ITEM 2 – UNREGISTERED SALES OF EQUITY SECURITIES AND USE OF PROCEEDS</w:t>
              </w:r>
            </w:hyperlink>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color w:val="000000"/>
                <w:sz w:val="20"/>
                <w:szCs w:val="20"/>
              </w:rPr>
              <w:t>7</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hyperlink w:anchor="23" w:history="1">
              <w:r w:rsidRPr="00E13FC6">
                <w:rPr>
                  <w:rFonts w:ascii="Times New Roman" w:hAnsi="Times New Roman"/>
                  <w:color w:val="0000FF"/>
                  <w:sz w:val="20"/>
                  <w:szCs w:val="20"/>
                  <w:u w:val="single" w:color="0000FF"/>
                </w:rPr>
                <w:t>ITEM 3 – DEFAULTS UPON SENIOR SECURITIES</w:t>
              </w:r>
            </w:hyperlink>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color w:val="000000"/>
                <w:sz w:val="20"/>
                <w:szCs w:val="20"/>
              </w:rPr>
              <w:t>7</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hyperlink w:anchor="24" w:history="1">
              <w:r w:rsidRPr="00E13FC6">
                <w:rPr>
                  <w:rFonts w:ascii="Times New Roman" w:hAnsi="Times New Roman"/>
                  <w:color w:val="0000FF"/>
                  <w:sz w:val="20"/>
                  <w:szCs w:val="20"/>
                  <w:u w:val="single" w:color="0000FF"/>
                </w:rPr>
                <w:t>ITEM 4 – SUBMISSION OF MATTERS TO A VOTE OF SECURITY HOLDERS</w:t>
              </w:r>
            </w:hyperlink>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color w:val="000000"/>
                <w:sz w:val="20"/>
                <w:szCs w:val="20"/>
              </w:rPr>
              <w:t>7</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hyperlink w:anchor="25" w:history="1">
              <w:r w:rsidRPr="00E13FC6">
                <w:rPr>
                  <w:rFonts w:ascii="Times New Roman" w:hAnsi="Times New Roman"/>
                  <w:color w:val="0000FF"/>
                  <w:sz w:val="20"/>
                  <w:szCs w:val="20"/>
                  <w:u w:val="single" w:color="0000FF"/>
                </w:rPr>
                <w:t>ITEM 5 – OTHER MATTERS</w:t>
              </w:r>
            </w:hyperlink>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color w:val="000000"/>
                <w:sz w:val="20"/>
                <w:szCs w:val="20"/>
              </w:rPr>
              <w:t>7</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hyperlink w:anchor="26" w:history="1">
              <w:r w:rsidRPr="00E13FC6">
                <w:rPr>
                  <w:rFonts w:ascii="Times New Roman" w:hAnsi="Times New Roman"/>
                  <w:color w:val="0000FF"/>
                  <w:sz w:val="20"/>
                  <w:szCs w:val="20"/>
                  <w:u w:val="single" w:color="0000FF"/>
                </w:rPr>
                <w:t>ITEM 6 – EXHIBITS</w:t>
              </w:r>
            </w:hyperlink>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color w:val="000000"/>
                <w:sz w:val="20"/>
                <w:szCs w:val="20"/>
              </w:rPr>
              <w:t>7</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hyperlink w:anchor="sigs" w:history="1">
              <w:r w:rsidRPr="00E13FC6">
                <w:rPr>
                  <w:rFonts w:ascii="Times New Roman" w:hAnsi="Times New Roman"/>
                  <w:b/>
                  <w:bCs/>
                  <w:color w:val="0000FF"/>
                  <w:sz w:val="20"/>
                  <w:szCs w:val="20"/>
                  <w:u w:val="single" w:color="0000FF"/>
                </w:rPr>
                <w:t>SIGNATURES</w:t>
              </w:r>
            </w:hyperlink>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color w:val="000000"/>
                <w:sz w:val="20"/>
                <w:szCs w:val="20"/>
              </w:rPr>
              <w:t>8</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EXHIBITS</w:t>
            </w:r>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Exhibit 31.1                  </w:t>
            </w:r>
            <w:hyperlink r:id="rId8" w:history="1">
              <w:r w:rsidRPr="00E13FC6">
                <w:rPr>
                  <w:rFonts w:ascii="Times New Roman" w:hAnsi="Times New Roman"/>
                  <w:color w:val="0000FF"/>
                  <w:sz w:val="20"/>
                  <w:szCs w:val="20"/>
                  <w:u w:val="single" w:color="0000FF"/>
                </w:rPr>
                <w:t>Certification Pursuant to Section 302 of the Sarbanes Oxley Act</w:t>
              </w:r>
            </w:hyperlink>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Exhibit 31.2                  </w:t>
            </w:r>
            <w:hyperlink r:id="rId9" w:history="1">
              <w:r w:rsidRPr="00E13FC6">
                <w:rPr>
                  <w:rFonts w:ascii="Times New Roman" w:hAnsi="Times New Roman"/>
                  <w:color w:val="0000FF"/>
                  <w:sz w:val="20"/>
                  <w:szCs w:val="20"/>
                  <w:u w:val="single" w:color="0000FF"/>
                </w:rPr>
                <w:t>Certification Pursuant to Section 302 of the Sarbanes Oxley Act</w:t>
              </w:r>
            </w:hyperlink>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Exhibit 32.1                  </w:t>
            </w:r>
            <w:hyperlink r:id="rId10" w:history="1">
              <w:r w:rsidRPr="00E13FC6">
                <w:rPr>
                  <w:rFonts w:ascii="Times New Roman" w:hAnsi="Times New Roman"/>
                  <w:color w:val="0000FF"/>
                  <w:sz w:val="20"/>
                  <w:szCs w:val="20"/>
                  <w:u w:val="single" w:color="0000FF"/>
                </w:rPr>
                <w:t>Certification Pursuant to Section 906 of the Sarbanes Oxley Act</w:t>
              </w:r>
            </w:hyperlink>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1004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Exhibit 32.2                  </w:t>
            </w:r>
            <w:hyperlink r:id="rId11" w:history="1">
              <w:r w:rsidRPr="00E13FC6">
                <w:rPr>
                  <w:rFonts w:ascii="Times New Roman" w:hAnsi="Times New Roman"/>
                  <w:color w:val="0000FF"/>
                  <w:sz w:val="20"/>
                  <w:szCs w:val="20"/>
                  <w:u w:val="single" w:color="0000FF"/>
                </w:rPr>
                <w:t>Certification Pursuant to Section 906 of the Sarbanes Oxley Act</w:t>
              </w:r>
            </w:hyperlink>
          </w:p>
        </w:tc>
        <w:tc>
          <w:tcPr>
            <w:tcW w:w="41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bl>
    <w:p w:rsidR="00000000" w:rsidRDefault="00E13FC6">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E13FC6">
      <w:pPr>
        <w:widowControl w:val="0"/>
        <w:autoSpaceDE w:val="0"/>
        <w:autoSpaceDN w:val="0"/>
        <w:adjustRightInd w:val="0"/>
        <w:spacing w:after="0" w:line="240" w:lineRule="auto"/>
        <w:rPr>
          <w:rFonts w:ascii="serif" w:hAnsi="serif" w:cs="serif"/>
          <w:color w:val="000000"/>
          <w:sz w:val="24"/>
          <w:szCs w:val="24"/>
        </w:rPr>
        <w:sectPr w:rsidR="00000000">
          <w:headerReference w:type="default" r:id="rId12"/>
          <w:footerReference w:type="default" r:id="rId13"/>
          <w:pgSz w:w="11906" w:h="16838"/>
          <w:pgMar w:top="720" w:right="720" w:bottom="720" w:left="720" w:header="720" w:footer="720" w:gutter="0"/>
          <w:cols w:space="720"/>
          <w:noEndnote/>
        </w:sectPr>
      </w:pPr>
    </w:p>
    <w:p w:rsidR="00000000" w:rsidRDefault="00E13FC6">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b/>
          <w:bCs/>
          <w:color w:val="000000"/>
          <w:sz w:val="20"/>
          <w:szCs w:val="20"/>
        </w:rPr>
        <w:lastRenderedPageBreak/>
        <w:t> </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b/>
          <w:bCs/>
          <w:color w:val="000000"/>
          <w:sz w:val="20"/>
          <w:szCs w:val="20"/>
        </w:rPr>
        <w:t> PART I - FINANCIAL INFORMATION</w:t>
      </w:r>
    </w:p>
    <w:p w:rsidR="00000000" w:rsidRDefault="00E13FC6">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olor w:val="000000"/>
          <w:sz w:val="20"/>
          <w:szCs w:val="20"/>
        </w:rPr>
        <w:t> </w:t>
      </w:r>
    </w:p>
    <w:p w:rsidR="00000000" w:rsidRDefault="00E13FC6">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b/>
          <w:bCs/>
          <w:color w:val="000000"/>
          <w:sz w:val="20"/>
          <w:szCs w:val="20"/>
        </w:rPr>
        <w:t xml:space="preserve">ITEM 1 </w:t>
      </w:r>
      <w:r>
        <w:rPr>
          <w:rFonts w:ascii="Times New Roman" w:hAnsi="Times New Roman"/>
          <w:b/>
          <w:bCs/>
          <w:color w:val="000000"/>
          <w:sz w:val="20"/>
          <w:szCs w:val="20"/>
        </w:rPr>
        <w:t>–</w:t>
      </w:r>
      <w:r>
        <w:rPr>
          <w:rFonts w:ascii="Times New Roman" w:hAnsi="Times New Roman"/>
          <w:b/>
          <w:bCs/>
          <w:color w:val="000000"/>
          <w:sz w:val="20"/>
          <w:szCs w:val="20"/>
        </w:rPr>
        <w:t xml:space="preserve"> FINANCIAL STATEMENTS</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b/>
          <w:bCs/>
          <w:color w:val="000000"/>
          <w:sz w:val="20"/>
          <w:szCs w:val="20"/>
        </w:rPr>
        <w:t> </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b/>
          <w:bCs/>
          <w:color w:val="000000"/>
          <w:sz w:val="20"/>
          <w:szCs w:val="20"/>
        </w:rPr>
        <w:t>MOLLER INTERNATIONAL, INC.</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b/>
          <w:bCs/>
          <w:color w:val="000000"/>
          <w:sz w:val="20"/>
          <w:szCs w:val="20"/>
        </w:rPr>
        <w:t>CONSOLIDATED BALANCE SHEETS</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olor w:val="000000"/>
          <w:sz w:val="20"/>
          <w:szCs w:val="20"/>
        </w:rPr>
        <w:t> </w:t>
      </w:r>
      <w:r>
        <w:rPr>
          <w:rFonts w:ascii="Times New Roman" w:hAnsi="Times New Roman"/>
          <w:b/>
          <w:bCs/>
          <w:color w:val="000000"/>
          <w:sz w:val="20"/>
          <w:szCs w:val="20"/>
        </w:rPr>
        <w:t>Unaudited</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7535"/>
        <w:gridCol w:w="104"/>
        <w:gridCol w:w="106"/>
        <w:gridCol w:w="1153"/>
        <w:gridCol w:w="104"/>
        <w:gridCol w:w="104"/>
        <w:gridCol w:w="104"/>
        <w:gridCol w:w="1151"/>
        <w:gridCol w:w="104"/>
      </w:tblGrid>
      <w:tr w:rsidR="00000000" w:rsidRPr="00E13FC6">
        <w:tblPrEx>
          <w:tblCellMar>
            <w:top w:w="0" w:type="dxa"/>
            <w:left w:w="0" w:type="dxa"/>
            <w:bottom w:w="0" w:type="dxa"/>
            <w:right w:w="0" w:type="dxa"/>
          </w:tblCellMar>
        </w:tblPrEx>
        <w:tc>
          <w:tcPr>
            <w:tcW w:w="7535"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9" w:type="dxa"/>
            <w:gridSpan w:val="2"/>
            <w:tcBorders>
              <w:top w:val="nil"/>
              <w:left w:val="nil"/>
              <w:bottom w:val="single" w:sz="8" w:space="0" w:color="000000"/>
              <w:right w:val="nil"/>
            </w:tcBorders>
            <w:vAlign w:val="bottom"/>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b/>
                <w:bCs/>
                <w:color w:val="000000"/>
                <w:sz w:val="20"/>
                <w:szCs w:val="20"/>
              </w:rPr>
              <w:t>March 31, 2013</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b/>
                <w:bCs/>
                <w:color w:val="000000"/>
                <w:sz w:val="20"/>
                <w:szCs w:val="20"/>
              </w:rPr>
              <w:t>June 30, 2012</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b/>
                <w:bCs/>
                <w:i/>
                <w:iCs/>
                <w:color w:val="000000"/>
                <w:sz w:val="20"/>
                <w:szCs w:val="20"/>
              </w:rPr>
              <w:t>ASSETS</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9" w:type="dxa"/>
            <w:gridSpan w:val="2"/>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5" w:type="dxa"/>
            <w:gridSpan w:val="2"/>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CURRENT ASSETS</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9" w:type="dxa"/>
            <w:gridSpan w:val="2"/>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5" w:type="dxa"/>
            <w:gridSpan w:val="2"/>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ind w:firstLine="540"/>
              <w:rPr>
                <w:rFonts w:ascii="Times New Roman" w:hAnsi="Times New Roman"/>
                <w:color w:val="000000"/>
                <w:sz w:val="20"/>
                <w:szCs w:val="20"/>
              </w:rPr>
            </w:pPr>
            <w:r w:rsidRPr="00E13FC6">
              <w:rPr>
                <w:rFonts w:ascii="Times New Roman" w:hAnsi="Times New Roman"/>
                <w:color w:val="000000"/>
                <w:sz w:val="20"/>
                <w:szCs w:val="20"/>
              </w:rPr>
              <w:t>Cash</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3"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39,439</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2,123</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ind w:firstLine="540"/>
              <w:rPr>
                <w:rFonts w:ascii="Times New Roman" w:hAnsi="Times New Roman"/>
                <w:color w:val="000000"/>
                <w:sz w:val="20"/>
                <w:szCs w:val="20"/>
              </w:rPr>
            </w:pPr>
            <w:r w:rsidRPr="00E13FC6">
              <w:rPr>
                <w:rFonts w:ascii="Times New Roman" w:hAnsi="Times New Roman"/>
                <w:color w:val="000000"/>
                <w:sz w:val="20"/>
                <w:szCs w:val="20"/>
              </w:rPr>
              <w:t>Advances to employees</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551</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ind w:firstLine="540"/>
              <w:rPr>
                <w:rFonts w:ascii="Times New Roman" w:hAnsi="Times New Roman"/>
                <w:color w:val="000000"/>
                <w:sz w:val="20"/>
                <w:szCs w:val="20"/>
              </w:rPr>
            </w:pPr>
            <w:r w:rsidRPr="00E13FC6">
              <w:rPr>
                <w:rFonts w:ascii="Times New Roman" w:hAnsi="Times New Roman"/>
                <w:color w:val="000000"/>
                <w:sz w:val="20"/>
                <w:szCs w:val="20"/>
              </w:rPr>
              <w:t>Prepaid Expenses</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2,020</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ind w:firstLine="1080"/>
              <w:rPr>
                <w:rFonts w:ascii="Times New Roman" w:hAnsi="Times New Roman"/>
                <w:color w:val="000000"/>
                <w:sz w:val="20"/>
                <w:szCs w:val="20"/>
              </w:rPr>
            </w:pPr>
            <w:r w:rsidRPr="00E13FC6">
              <w:rPr>
                <w:rFonts w:ascii="Times New Roman" w:hAnsi="Times New Roman"/>
                <w:color w:val="000000"/>
                <w:sz w:val="20"/>
                <w:szCs w:val="20"/>
              </w:rPr>
              <w:t>Total current assets</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42,010</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2,123</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PROPERTY AND EQUIPMENT, net</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8,078</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8,776</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OTHER NON-CURRENT ASSETS</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319</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ind w:firstLine="1080"/>
              <w:rPr>
                <w:rFonts w:ascii="Times New Roman" w:hAnsi="Times New Roman"/>
                <w:color w:val="000000"/>
                <w:sz w:val="20"/>
                <w:szCs w:val="20"/>
              </w:rPr>
            </w:pPr>
            <w:r w:rsidRPr="00E13FC6">
              <w:rPr>
                <w:rFonts w:ascii="Times New Roman" w:hAnsi="Times New Roman"/>
                <w:color w:val="000000"/>
                <w:sz w:val="20"/>
                <w:szCs w:val="20"/>
              </w:rPr>
              <w:t>Total other assets</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8,078</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9,095</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tcMar>
              <w:bottom w:w="6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doub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3" w:type="dxa"/>
            <w:tcBorders>
              <w:top w:val="nil"/>
              <w:left w:val="nil"/>
              <w:bottom w:val="doub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50,088</w:t>
            </w:r>
          </w:p>
        </w:tc>
        <w:tc>
          <w:tcPr>
            <w:tcW w:w="104" w:type="dxa"/>
            <w:tcBorders>
              <w:top w:val="nil"/>
              <w:left w:val="nil"/>
              <w:bottom w:val="nil"/>
              <w:right w:val="nil"/>
            </w:tcBorders>
            <w:shd w:val="clear" w:color="auto" w:fill="CCEEFF"/>
            <w:tcMar>
              <w:bottom w:w="6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11,218</w:t>
            </w:r>
          </w:p>
        </w:tc>
        <w:tc>
          <w:tcPr>
            <w:tcW w:w="104" w:type="dxa"/>
            <w:tcBorders>
              <w:top w:val="nil"/>
              <w:left w:val="nil"/>
              <w:bottom w:val="nil"/>
              <w:right w:val="nil"/>
            </w:tcBorders>
            <w:shd w:val="clear" w:color="auto" w:fill="CCEEFF"/>
            <w:tcMar>
              <w:bottom w:w="6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b/>
                <w:bCs/>
                <w:i/>
                <w:iCs/>
                <w:color w:val="000000"/>
                <w:sz w:val="20"/>
                <w:szCs w:val="20"/>
              </w:rPr>
              <w:t>LIABILITIES AND STOCKHOLDERS' DEFICIT</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CURRENT LIABILITIES</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ind w:firstLine="540"/>
              <w:rPr>
                <w:rFonts w:ascii="Times New Roman" w:hAnsi="Times New Roman"/>
                <w:color w:val="000000"/>
                <w:sz w:val="20"/>
                <w:szCs w:val="20"/>
              </w:rPr>
            </w:pPr>
            <w:r w:rsidRPr="00E13FC6">
              <w:rPr>
                <w:rFonts w:ascii="Times New Roman" w:hAnsi="Times New Roman"/>
                <w:color w:val="000000"/>
                <w:sz w:val="20"/>
                <w:szCs w:val="20"/>
              </w:rPr>
              <w:t>Accounts payable, trade</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3"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687,685</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710,417</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ind w:firstLine="540"/>
              <w:rPr>
                <w:rFonts w:ascii="Times New Roman" w:hAnsi="Times New Roman"/>
                <w:color w:val="000000"/>
                <w:sz w:val="20"/>
                <w:szCs w:val="20"/>
              </w:rPr>
            </w:pPr>
            <w:r w:rsidRPr="00E13FC6">
              <w:rPr>
                <w:rFonts w:ascii="Times New Roman" w:hAnsi="Times New Roman"/>
                <w:color w:val="000000"/>
                <w:sz w:val="20"/>
                <w:szCs w:val="20"/>
              </w:rPr>
              <w:t>Accrued liabilities</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756,937</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668,499</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ind w:firstLine="540"/>
              <w:rPr>
                <w:rFonts w:ascii="Times New Roman" w:hAnsi="Times New Roman"/>
                <w:color w:val="000000"/>
                <w:sz w:val="20"/>
                <w:szCs w:val="20"/>
              </w:rPr>
            </w:pPr>
            <w:r w:rsidRPr="00E13FC6">
              <w:rPr>
                <w:rFonts w:ascii="Times New Roman" w:hAnsi="Times New Roman"/>
                <w:color w:val="000000"/>
                <w:sz w:val="20"/>
                <w:szCs w:val="20"/>
              </w:rPr>
              <w:t>Accrued liabilities-majority shareholder</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5,672,936</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5,098,484</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ind w:firstLine="540"/>
              <w:rPr>
                <w:rFonts w:ascii="Times New Roman" w:hAnsi="Times New Roman"/>
                <w:color w:val="000000"/>
                <w:sz w:val="20"/>
                <w:szCs w:val="20"/>
              </w:rPr>
            </w:pPr>
            <w:r w:rsidRPr="00E13FC6">
              <w:rPr>
                <w:rFonts w:ascii="Times New Roman" w:hAnsi="Times New Roman"/>
                <w:color w:val="000000"/>
                <w:sz w:val="20"/>
                <w:szCs w:val="20"/>
              </w:rPr>
              <w:t>Notes payable-other</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1,253,682</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981,182</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ind w:firstLine="540"/>
              <w:rPr>
                <w:rFonts w:ascii="Times New Roman" w:hAnsi="Times New Roman"/>
                <w:color w:val="000000"/>
                <w:sz w:val="20"/>
                <w:szCs w:val="20"/>
              </w:rPr>
            </w:pPr>
            <w:r w:rsidRPr="00E13FC6">
              <w:rPr>
                <w:rFonts w:ascii="Times New Roman" w:hAnsi="Times New Roman"/>
                <w:color w:val="000000"/>
                <w:sz w:val="20"/>
                <w:szCs w:val="20"/>
              </w:rPr>
              <w:t>Note payable - majority shareholder</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2,557,210</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2,767,662</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ind w:firstLine="540"/>
              <w:rPr>
                <w:rFonts w:ascii="Times New Roman" w:hAnsi="Times New Roman"/>
                <w:color w:val="000000"/>
                <w:sz w:val="20"/>
                <w:szCs w:val="20"/>
              </w:rPr>
            </w:pPr>
            <w:r w:rsidRPr="00E13FC6">
              <w:rPr>
                <w:rFonts w:ascii="Times New Roman" w:hAnsi="Times New Roman"/>
                <w:color w:val="000000"/>
                <w:sz w:val="20"/>
                <w:szCs w:val="20"/>
              </w:rPr>
              <w:t>Convertible notes payable, net of discount of $96,397 and $64,347</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134,983</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163,033</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ind w:firstLine="540"/>
              <w:rPr>
                <w:rFonts w:ascii="Times New Roman" w:hAnsi="Times New Roman"/>
                <w:color w:val="000000"/>
                <w:sz w:val="20"/>
                <w:szCs w:val="20"/>
              </w:rPr>
            </w:pPr>
            <w:r w:rsidRPr="00E13FC6">
              <w:rPr>
                <w:rFonts w:ascii="Times New Roman" w:hAnsi="Times New Roman"/>
                <w:color w:val="000000"/>
                <w:sz w:val="20"/>
                <w:szCs w:val="20"/>
              </w:rPr>
              <w:t>Notes payable - minority shareholders</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178,591</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178,603</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ind w:firstLine="540"/>
              <w:rPr>
                <w:rFonts w:ascii="Times New Roman" w:hAnsi="Times New Roman"/>
                <w:color w:val="000000"/>
                <w:sz w:val="20"/>
                <w:szCs w:val="20"/>
              </w:rPr>
            </w:pPr>
            <w:r w:rsidRPr="00E13FC6">
              <w:rPr>
                <w:rFonts w:ascii="Times New Roman" w:hAnsi="Times New Roman"/>
                <w:color w:val="000000"/>
                <w:sz w:val="20"/>
                <w:szCs w:val="20"/>
              </w:rPr>
              <w:t>Derivative Liability</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395,485</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142,327</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ind w:firstLine="540"/>
              <w:rPr>
                <w:rFonts w:ascii="Times New Roman" w:hAnsi="Times New Roman"/>
                <w:color w:val="000000"/>
                <w:sz w:val="20"/>
                <w:szCs w:val="20"/>
              </w:rPr>
            </w:pPr>
            <w:r w:rsidRPr="00E13FC6">
              <w:rPr>
                <w:rFonts w:ascii="Times New Roman" w:hAnsi="Times New Roman"/>
                <w:color w:val="000000"/>
                <w:sz w:val="20"/>
                <w:szCs w:val="20"/>
              </w:rPr>
              <w:t xml:space="preserve">Deferred wages </w:t>
            </w:r>
            <w:r w:rsidRPr="00E13FC6">
              <w:rPr>
                <w:rFonts w:ascii="Times New Roman" w:hAnsi="Times New Roman"/>
                <w:color w:val="000000"/>
                <w:sz w:val="20"/>
                <w:szCs w:val="20"/>
              </w:rPr>
              <w:t>–</w:t>
            </w:r>
            <w:r w:rsidRPr="00E13FC6">
              <w:rPr>
                <w:rFonts w:ascii="Times New Roman" w:hAnsi="Times New Roman"/>
                <w:color w:val="000000"/>
                <w:sz w:val="20"/>
                <w:szCs w:val="20"/>
              </w:rPr>
              <w:t xml:space="preserve"> employees</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841,631</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720,034</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ind w:firstLine="540"/>
              <w:rPr>
                <w:rFonts w:ascii="Times New Roman" w:hAnsi="Times New Roman"/>
                <w:color w:val="000000"/>
                <w:sz w:val="20"/>
                <w:szCs w:val="20"/>
              </w:rPr>
            </w:pPr>
            <w:r w:rsidRPr="00E13FC6">
              <w:rPr>
                <w:rFonts w:ascii="Times New Roman" w:hAnsi="Times New Roman"/>
                <w:color w:val="000000"/>
                <w:sz w:val="20"/>
                <w:szCs w:val="20"/>
              </w:rPr>
              <w:t>Customer deposits</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389,767</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389,767</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ind w:firstLine="1080"/>
              <w:rPr>
                <w:rFonts w:ascii="Times New Roman" w:hAnsi="Times New Roman"/>
                <w:color w:val="000000"/>
                <w:sz w:val="20"/>
                <w:szCs w:val="20"/>
              </w:rPr>
            </w:pPr>
            <w:r w:rsidRPr="00E13FC6">
              <w:rPr>
                <w:rFonts w:ascii="Times New Roman" w:hAnsi="Times New Roman"/>
                <w:color w:val="000000"/>
                <w:sz w:val="20"/>
                <w:szCs w:val="20"/>
              </w:rPr>
              <w:t>Total current liabilities</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12,868,907</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11,820,008</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LONG TERM LIABILITIES</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ind w:firstLine="540"/>
              <w:rPr>
                <w:rFonts w:ascii="Times New Roman" w:hAnsi="Times New Roman"/>
                <w:color w:val="000000"/>
                <w:sz w:val="20"/>
                <w:szCs w:val="20"/>
              </w:rPr>
            </w:pPr>
            <w:r w:rsidRPr="00E13FC6">
              <w:rPr>
                <w:rFonts w:ascii="Times New Roman" w:hAnsi="Times New Roman"/>
                <w:color w:val="000000"/>
                <w:sz w:val="20"/>
                <w:szCs w:val="20"/>
              </w:rPr>
              <w:t>Deferred wages and interest-majority shareholder</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r w:rsidRPr="00E13FC6">
              <w:rPr>
                <w:rFonts w:ascii="Times New Roman" w:hAnsi="Times New Roman"/>
                <w:color w:val="000000"/>
                <w:sz w:val="20"/>
                <w:szCs w:val="20"/>
              </w:rPr>
              <w:t xml:space="preserve"> </w:t>
            </w:r>
          </w:p>
        </w:tc>
        <w:tc>
          <w:tcPr>
            <w:tcW w:w="1153"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997,024</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778,123</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ind w:firstLine="1080"/>
              <w:rPr>
                <w:rFonts w:ascii="Times New Roman" w:hAnsi="Times New Roman"/>
                <w:color w:val="000000"/>
                <w:sz w:val="20"/>
                <w:szCs w:val="20"/>
              </w:rPr>
            </w:pPr>
            <w:r w:rsidRPr="00E13FC6">
              <w:rPr>
                <w:rFonts w:ascii="Times New Roman" w:hAnsi="Times New Roman"/>
                <w:color w:val="000000"/>
                <w:sz w:val="20"/>
                <w:szCs w:val="20"/>
              </w:rPr>
              <w:t>Total liabilities</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 13,865,931</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12,598,131</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DEFICIT IN STOCKHOLDERS' DEFICIT</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ind w:firstLine="540"/>
              <w:rPr>
                <w:rFonts w:ascii="Times New Roman" w:hAnsi="Times New Roman"/>
                <w:color w:val="000000"/>
                <w:sz w:val="20"/>
                <w:szCs w:val="20"/>
              </w:rPr>
            </w:pPr>
            <w:r w:rsidRPr="00E13FC6">
              <w:rPr>
                <w:rFonts w:ascii="Times New Roman" w:hAnsi="Times New Roman"/>
                <w:color w:val="000000"/>
                <w:sz w:val="20"/>
                <w:szCs w:val="20"/>
              </w:rPr>
              <w:t>Common stock, authorized, 150,000,000 shares, no par value</w:t>
            </w:r>
          </w:p>
          <w:p w:rsidR="00000000" w:rsidRPr="00E13FC6" w:rsidRDefault="00E13FC6">
            <w:pPr>
              <w:widowControl w:val="0"/>
              <w:shd w:val="clear" w:color="auto" w:fill="FFFFFF"/>
              <w:autoSpaceDE w:val="0"/>
              <w:autoSpaceDN w:val="0"/>
              <w:adjustRightInd w:val="0"/>
              <w:spacing w:after="0" w:line="240" w:lineRule="auto"/>
              <w:ind w:firstLine="540"/>
              <w:rPr>
                <w:rFonts w:ascii="Times New Roman" w:hAnsi="Times New Roman"/>
                <w:color w:val="000000"/>
                <w:sz w:val="20"/>
                <w:szCs w:val="20"/>
              </w:rPr>
            </w:pPr>
            <w:r w:rsidRPr="00E13FC6">
              <w:rPr>
                <w:rFonts w:ascii="Times New Roman" w:hAnsi="Times New Roman"/>
                <w:color w:val="000000"/>
                <w:sz w:val="20"/>
                <w:szCs w:val="20"/>
              </w:rPr>
              <w:t>49,076,716 and 48,990,896 issued and outstanding respectively</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38,038,144</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38,018,888</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ind w:firstLine="540"/>
              <w:rPr>
                <w:rFonts w:ascii="Times New Roman" w:hAnsi="Times New Roman"/>
                <w:color w:val="000000"/>
                <w:sz w:val="20"/>
                <w:szCs w:val="20"/>
              </w:rPr>
            </w:pPr>
            <w:r w:rsidRPr="00E13FC6">
              <w:rPr>
                <w:rFonts w:ascii="Times New Roman" w:hAnsi="Times New Roman"/>
                <w:color w:val="000000"/>
                <w:sz w:val="20"/>
                <w:szCs w:val="20"/>
              </w:rPr>
              <w:t>Accumulated deficit</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(51,853,987</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(50,605,801</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ind w:firstLine="1080"/>
              <w:rPr>
                <w:rFonts w:ascii="Times New Roman" w:hAnsi="Times New Roman"/>
                <w:color w:val="000000"/>
                <w:sz w:val="20"/>
                <w:szCs w:val="20"/>
              </w:rPr>
            </w:pPr>
            <w:r w:rsidRPr="00E13FC6">
              <w:rPr>
                <w:rFonts w:ascii="Times New Roman" w:hAnsi="Times New Roman"/>
                <w:color w:val="000000"/>
                <w:sz w:val="20"/>
                <w:szCs w:val="20"/>
              </w:rPr>
              <w:t>Total stockholders' deficit</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3"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( 13,815,843</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(12,586,913</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tcMar>
              <w:bottom w:w="6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6" w:type="dxa"/>
            <w:tcBorders>
              <w:top w:val="nil"/>
              <w:left w:val="nil"/>
              <w:bottom w:val="doub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3" w:type="dxa"/>
            <w:tcBorders>
              <w:top w:val="nil"/>
              <w:left w:val="nil"/>
              <w:bottom w:val="doub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50,088</w:t>
            </w:r>
          </w:p>
        </w:tc>
        <w:tc>
          <w:tcPr>
            <w:tcW w:w="104" w:type="dxa"/>
            <w:tcBorders>
              <w:top w:val="nil"/>
              <w:left w:val="nil"/>
              <w:bottom w:val="nil"/>
              <w:right w:val="nil"/>
            </w:tcBorders>
            <w:shd w:val="clear" w:color="auto" w:fill="CCEEFF"/>
            <w:tcMar>
              <w:bottom w:w="6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11,218</w:t>
            </w:r>
          </w:p>
        </w:tc>
        <w:tc>
          <w:tcPr>
            <w:tcW w:w="104" w:type="dxa"/>
            <w:tcBorders>
              <w:top w:val="nil"/>
              <w:left w:val="nil"/>
              <w:bottom w:val="nil"/>
              <w:right w:val="nil"/>
            </w:tcBorders>
            <w:shd w:val="clear" w:color="auto" w:fill="CCEEFF"/>
            <w:tcMar>
              <w:bottom w:w="6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bl>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b/>
          <w:bCs/>
          <w:color w:val="000000"/>
          <w:sz w:val="20"/>
          <w:szCs w:val="20"/>
        </w:rPr>
        <w:t> </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olor w:val="000000"/>
          <w:sz w:val="20"/>
          <w:szCs w:val="20"/>
        </w:rPr>
        <w:t>See accompanying notes to unaudited consolidated financial statements.</w:t>
      </w:r>
    </w:p>
    <w:p w:rsidR="00000000" w:rsidRDefault="00E13FC6">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olor w:val="000000"/>
          <w:sz w:val="20"/>
          <w:szCs w:val="20"/>
        </w:rPr>
        <w:t> </w:t>
      </w:r>
    </w:p>
    <w:p w:rsidR="00000000" w:rsidRDefault="00E13FC6">
      <w:pPr>
        <w:widowControl w:val="0"/>
        <w:autoSpaceDE w:val="0"/>
        <w:autoSpaceDN w:val="0"/>
        <w:adjustRightInd w:val="0"/>
        <w:spacing w:after="0" w:line="240" w:lineRule="auto"/>
        <w:rPr>
          <w:rFonts w:ascii="serif" w:hAnsi="serif" w:cs="serif"/>
          <w:color w:val="000000"/>
          <w:sz w:val="24"/>
          <w:szCs w:val="24"/>
        </w:rPr>
        <w:sectPr w:rsidR="00000000" w:rsidSect="00A727E1">
          <w:headerReference w:type="default" r:id="rId14"/>
          <w:footerReference w:type="default" r:id="rId15"/>
          <w:pgSz w:w="11906" w:h="16838"/>
          <w:pgMar w:top="720" w:right="720" w:bottom="720" w:left="720" w:header="720" w:footer="720" w:gutter="0"/>
          <w:pgNumType w:start="1"/>
          <w:cols w:space="720"/>
          <w:noEndnote/>
        </w:sectPr>
      </w:pPr>
    </w:p>
    <w:p w:rsidR="00000000" w:rsidRDefault="00E13FC6">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b/>
          <w:bCs/>
          <w:color w:val="000000"/>
          <w:sz w:val="20"/>
          <w:szCs w:val="20"/>
        </w:rPr>
        <w:t xml:space="preserve">MOLLER </w:t>
      </w:r>
      <w:r>
        <w:rPr>
          <w:rFonts w:ascii="Times New Roman" w:hAnsi="Times New Roman"/>
          <w:b/>
          <w:bCs/>
          <w:color w:val="000000"/>
          <w:sz w:val="20"/>
          <w:szCs w:val="20"/>
        </w:rPr>
        <w:t>INTERNATIONAL, INC.</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b/>
          <w:bCs/>
          <w:color w:val="000000"/>
          <w:sz w:val="20"/>
          <w:szCs w:val="20"/>
        </w:rPr>
        <w:t>CONSOLIDATED STATEMENTS OF OPERATIONS</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b/>
          <w:bCs/>
          <w:color w:val="000000"/>
          <w:sz w:val="20"/>
          <w:szCs w:val="20"/>
        </w:rPr>
        <w:t>Unaudited</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serif" w:hAnsi="serif" w:cs="serif"/>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4605"/>
        <w:gridCol w:w="104"/>
        <w:gridCol w:w="105"/>
        <w:gridCol w:w="1152"/>
        <w:gridCol w:w="104"/>
        <w:gridCol w:w="104"/>
        <w:gridCol w:w="105"/>
        <w:gridCol w:w="1152"/>
        <w:gridCol w:w="104"/>
        <w:gridCol w:w="104"/>
        <w:gridCol w:w="105"/>
        <w:gridCol w:w="1152"/>
        <w:gridCol w:w="104"/>
        <w:gridCol w:w="104"/>
        <w:gridCol w:w="105"/>
        <w:gridCol w:w="1152"/>
        <w:gridCol w:w="104"/>
      </w:tblGrid>
      <w:tr w:rsidR="00000000" w:rsidRPr="00E13FC6">
        <w:tblPrEx>
          <w:tblCellMar>
            <w:top w:w="0" w:type="dxa"/>
            <w:left w:w="0" w:type="dxa"/>
            <w:bottom w:w="0" w:type="dxa"/>
            <w:right w:w="0" w:type="dxa"/>
          </w:tblCellMar>
        </w:tblPrEx>
        <w:tc>
          <w:tcPr>
            <w:tcW w:w="4605"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2722" w:type="dxa"/>
            <w:gridSpan w:val="6"/>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b/>
                <w:bCs/>
                <w:color w:val="000000"/>
                <w:sz w:val="20"/>
                <w:szCs w:val="20"/>
              </w:rPr>
              <w:t>Three Months Ended</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2722" w:type="dxa"/>
            <w:gridSpan w:val="6"/>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b/>
                <w:bCs/>
                <w:color w:val="000000"/>
                <w:sz w:val="20"/>
                <w:szCs w:val="20"/>
              </w:rPr>
              <w:t>Nine Months Ended</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7" w:type="dxa"/>
            <w:gridSpan w:val="2"/>
            <w:tcBorders>
              <w:top w:val="nil"/>
              <w:left w:val="nil"/>
              <w:bottom w:val="single" w:sz="8" w:space="0" w:color="000000"/>
              <w:right w:val="nil"/>
            </w:tcBorders>
            <w:vAlign w:val="bottom"/>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b/>
                <w:bCs/>
                <w:color w:val="000000"/>
                <w:sz w:val="20"/>
                <w:szCs w:val="20"/>
              </w:rPr>
              <w:t>March 31, 2013</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7" w:type="dxa"/>
            <w:gridSpan w:val="2"/>
            <w:tcBorders>
              <w:top w:val="nil"/>
              <w:left w:val="nil"/>
              <w:bottom w:val="single" w:sz="8" w:space="0" w:color="000000"/>
              <w:right w:val="nil"/>
            </w:tcBorders>
            <w:vAlign w:val="bottom"/>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b/>
                <w:bCs/>
                <w:color w:val="000000"/>
                <w:sz w:val="20"/>
                <w:szCs w:val="20"/>
              </w:rPr>
              <w:t>March 31, 2012</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7" w:type="dxa"/>
            <w:gridSpan w:val="2"/>
            <w:tcBorders>
              <w:top w:val="nil"/>
              <w:left w:val="nil"/>
              <w:bottom w:val="single" w:sz="8" w:space="0" w:color="000000"/>
              <w:right w:val="nil"/>
            </w:tcBorders>
            <w:vAlign w:val="bottom"/>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b/>
                <w:bCs/>
                <w:color w:val="000000"/>
                <w:sz w:val="20"/>
                <w:szCs w:val="20"/>
              </w:rPr>
              <w:t>March 31, 2013</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7" w:type="dxa"/>
            <w:gridSpan w:val="2"/>
            <w:tcBorders>
              <w:top w:val="nil"/>
              <w:left w:val="nil"/>
              <w:bottom w:val="single" w:sz="8" w:space="0" w:color="000000"/>
              <w:right w:val="nil"/>
            </w:tcBorders>
            <w:vAlign w:val="bottom"/>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b/>
                <w:bCs/>
                <w:color w:val="000000"/>
                <w:sz w:val="20"/>
                <w:szCs w:val="20"/>
              </w:rPr>
              <w:t>March 31, 2012</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jc w:val="both"/>
              <w:rPr>
                <w:rFonts w:ascii="Times New Roman" w:hAnsi="Times New Roman"/>
                <w:color w:val="000000"/>
                <w:sz w:val="20"/>
                <w:szCs w:val="20"/>
              </w:rPr>
            </w:pPr>
            <w:r w:rsidRPr="00E13FC6">
              <w:rPr>
                <w:rFonts w:ascii="Times New Roman" w:hAnsi="Times New Roman"/>
                <w:color w:val="000000"/>
                <w:sz w:val="20"/>
                <w:szCs w:val="20"/>
              </w:rPr>
              <w:t>REVENUE</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7" w:type="dxa"/>
            <w:gridSpan w:val="2"/>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7" w:type="dxa"/>
            <w:gridSpan w:val="2"/>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7" w:type="dxa"/>
            <w:gridSpan w:val="2"/>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7" w:type="dxa"/>
            <w:gridSpan w:val="2"/>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r w:rsidRPr="00E13FC6">
              <w:rPr>
                <w:rFonts w:ascii="Times New Roman" w:hAnsi="Times New Roman"/>
                <w:color w:val="000000"/>
                <w:sz w:val="20"/>
                <w:szCs w:val="20"/>
              </w:rPr>
              <w:t>  Other revenue</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2"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24</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2"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292</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2"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126</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2"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9,944</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both"/>
              <w:rPr>
                <w:rFonts w:ascii="Times New Roman" w:hAnsi="Times New Roman"/>
                <w:color w:val="000000"/>
                <w:sz w:val="20"/>
                <w:szCs w:val="20"/>
              </w:rPr>
            </w:pPr>
            <w:r w:rsidRPr="00E13FC6">
              <w:rPr>
                <w:rFonts w:ascii="Times New Roman" w:hAnsi="Times New Roman"/>
                <w:color w:val="000000"/>
                <w:sz w:val="20"/>
                <w:szCs w:val="20"/>
              </w:rPr>
              <w:t>OPERATING EXPENSES</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ind w:firstLine="540"/>
              <w:jc w:val="both"/>
              <w:rPr>
                <w:rFonts w:ascii="Times New Roman" w:hAnsi="Times New Roman"/>
                <w:color w:val="000000"/>
                <w:sz w:val="20"/>
                <w:szCs w:val="20"/>
              </w:rPr>
            </w:pPr>
            <w:r w:rsidRPr="00E13FC6">
              <w:rPr>
                <w:rFonts w:ascii="Times New Roman" w:hAnsi="Times New Roman"/>
                <w:color w:val="000000"/>
                <w:sz w:val="20"/>
                <w:szCs w:val="20"/>
              </w:rPr>
              <w:t>Selling, general and administrative</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131,974</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175,931</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444,283</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536,002</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ind w:firstLine="540"/>
              <w:jc w:val="both"/>
              <w:rPr>
                <w:rFonts w:ascii="Times New Roman" w:hAnsi="Times New Roman"/>
                <w:color w:val="000000"/>
                <w:sz w:val="20"/>
                <w:szCs w:val="20"/>
              </w:rPr>
            </w:pPr>
            <w:r w:rsidRPr="00E13FC6">
              <w:rPr>
                <w:rFonts w:ascii="Times New Roman" w:hAnsi="Times New Roman"/>
                <w:color w:val="000000"/>
                <w:sz w:val="20"/>
                <w:szCs w:val="20"/>
              </w:rPr>
              <w:t>Rent expense to majority shareholder</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108,794</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132,267</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230,098</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264,726</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ind w:firstLine="1080"/>
              <w:jc w:val="both"/>
              <w:rPr>
                <w:rFonts w:ascii="Times New Roman" w:hAnsi="Times New Roman"/>
                <w:color w:val="000000"/>
                <w:sz w:val="20"/>
                <w:szCs w:val="20"/>
              </w:rPr>
            </w:pPr>
            <w:r w:rsidRPr="00E13FC6">
              <w:rPr>
                <w:rFonts w:ascii="Times New Roman" w:hAnsi="Times New Roman"/>
                <w:color w:val="000000"/>
                <w:sz w:val="20"/>
                <w:szCs w:val="20"/>
              </w:rPr>
              <w:t>Total expenses</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240,768</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308,198</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674,381</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800,728</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ind w:firstLine="1080"/>
              <w:jc w:val="both"/>
              <w:rPr>
                <w:rFonts w:ascii="Times New Roman" w:hAnsi="Times New Roman"/>
                <w:color w:val="000000"/>
                <w:sz w:val="20"/>
                <w:szCs w:val="20"/>
              </w:rPr>
            </w:pPr>
            <w:r w:rsidRPr="00E13FC6">
              <w:rPr>
                <w:rFonts w:ascii="Times New Roman" w:hAnsi="Times New Roman"/>
                <w:color w:val="000000"/>
                <w:sz w:val="20"/>
                <w:szCs w:val="20"/>
              </w:rPr>
              <w:t>Operating Loss</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(240,744</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(307,906</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(674,255</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(790,784</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both"/>
              <w:rPr>
                <w:rFonts w:ascii="Times New Roman" w:hAnsi="Times New Roman"/>
                <w:color w:val="000000"/>
                <w:sz w:val="20"/>
                <w:szCs w:val="20"/>
              </w:rPr>
            </w:pPr>
            <w:r w:rsidRPr="00E13FC6">
              <w:rPr>
                <w:rFonts w:ascii="Times New Roman" w:hAnsi="Times New Roman"/>
                <w:color w:val="000000"/>
                <w:sz w:val="20"/>
                <w:szCs w:val="20"/>
              </w:rPr>
              <w:t>OTHER EXPENSE</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both"/>
              <w:rPr>
                <w:rFonts w:ascii="Times New Roman" w:hAnsi="Times New Roman"/>
                <w:color w:val="000000"/>
                <w:sz w:val="20"/>
                <w:szCs w:val="20"/>
              </w:rPr>
            </w:pPr>
            <w:r w:rsidRPr="00E13FC6">
              <w:rPr>
                <w:rFonts w:ascii="Times New Roman" w:hAnsi="Times New Roman"/>
                <w:color w:val="000000"/>
                <w:sz w:val="20"/>
                <w:szCs w:val="20"/>
              </w:rPr>
              <w:t>     Derivative gain (loss)</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(114,928)</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34,515</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(153,704)</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34,515</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both"/>
              <w:rPr>
                <w:rFonts w:ascii="Times New Roman" w:hAnsi="Times New Roman"/>
                <w:color w:val="000000"/>
                <w:sz w:val="20"/>
                <w:szCs w:val="20"/>
              </w:rPr>
            </w:pPr>
            <w:r w:rsidRPr="00E13FC6">
              <w:rPr>
                <w:rFonts w:ascii="Times New Roman" w:hAnsi="Times New Roman"/>
                <w:color w:val="000000"/>
                <w:sz w:val="20"/>
                <w:szCs w:val="20"/>
              </w:rPr>
              <w:t>     Interest expense</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(43,118</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(94,349</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(184,974</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(150,999</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jc w:val="both"/>
              <w:rPr>
                <w:rFonts w:ascii="Times New Roman" w:hAnsi="Times New Roman"/>
                <w:color w:val="000000"/>
                <w:sz w:val="20"/>
                <w:szCs w:val="20"/>
              </w:rPr>
            </w:pPr>
            <w:r w:rsidRPr="00E13FC6">
              <w:rPr>
                <w:rFonts w:ascii="Times New Roman" w:hAnsi="Times New Roman"/>
                <w:color w:val="000000"/>
                <w:sz w:val="20"/>
                <w:szCs w:val="20"/>
              </w:rPr>
              <w:t>     Interest expense- majority shareholder</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(77,379</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(77,381</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(235,253</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(235,098</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both"/>
              <w:rPr>
                <w:rFonts w:ascii="Times New Roman" w:hAnsi="Times New Roman"/>
                <w:color w:val="000000"/>
                <w:sz w:val="20"/>
                <w:szCs w:val="20"/>
              </w:rPr>
            </w:pPr>
            <w:r w:rsidRPr="00E13FC6">
              <w:rPr>
                <w:rFonts w:ascii="Times New Roman" w:hAnsi="Times New Roman"/>
                <w:color w:val="000000"/>
                <w:sz w:val="20"/>
                <w:szCs w:val="20"/>
              </w:rPr>
              <w:t>                Total other expense</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(235,425</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(137,215</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(573,931</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(351,582</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FFFFFF"/>
            <w:tcMar>
              <w:bottom w:w="6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NET LOSS</w:t>
            </w:r>
          </w:p>
        </w:tc>
        <w:tc>
          <w:tcPr>
            <w:tcW w:w="104" w:type="dxa"/>
            <w:tcBorders>
              <w:top w:val="nil"/>
              <w:left w:val="nil"/>
              <w:bottom w:val="nil"/>
              <w:right w:val="nil"/>
            </w:tcBorders>
            <w:shd w:val="clear" w:color="auto" w:fill="FFFFFF"/>
            <w:tcMar>
              <w:bottom w:w="6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doub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2" w:type="dxa"/>
            <w:tcBorders>
              <w:top w:val="nil"/>
              <w:left w:val="nil"/>
              <w:bottom w:val="doub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(476,169</w:t>
            </w:r>
          </w:p>
        </w:tc>
        <w:tc>
          <w:tcPr>
            <w:tcW w:w="104" w:type="dxa"/>
            <w:tcBorders>
              <w:top w:val="nil"/>
              <w:left w:val="nil"/>
              <w:bottom w:val="nil"/>
              <w:right w:val="nil"/>
            </w:tcBorders>
            <w:shd w:val="clear" w:color="auto" w:fill="FFFFFF"/>
            <w:tcMar>
              <w:bottom w:w="6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tcMar>
              <w:bottom w:w="6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doub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2" w:type="dxa"/>
            <w:tcBorders>
              <w:top w:val="nil"/>
              <w:left w:val="nil"/>
              <w:bottom w:val="doub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(445,121</w:t>
            </w:r>
          </w:p>
        </w:tc>
        <w:tc>
          <w:tcPr>
            <w:tcW w:w="104" w:type="dxa"/>
            <w:tcBorders>
              <w:top w:val="nil"/>
              <w:left w:val="nil"/>
              <w:bottom w:val="nil"/>
              <w:right w:val="nil"/>
            </w:tcBorders>
            <w:shd w:val="clear" w:color="auto" w:fill="FFFFFF"/>
            <w:tcMar>
              <w:bottom w:w="6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tcMar>
              <w:bottom w:w="6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doub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2" w:type="dxa"/>
            <w:tcBorders>
              <w:top w:val="nil"/>
              <w:left w:val="nil"/>
              <w:bottom w:val="doub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(1,248,186</w:t>
            </w:r>
          </w:p>
        </w:tc>
        <w:tc>
          <w:tcPr>
            <w:tcW w:w="104" w:type="dxa"/>
            <w:tcBorders>
              <w:top w:val="nil"/>
              <w:left w:val="nil"/>
              <w:bottom w:val="nil"/>
              <w:right w:val="nil"/>
            </w:tcBorders>
            <w:shd w:val="clear" w:color="auto" w:fill="FFFFFF"/>
            <w:tcMar>
              <w:bottom w:w="6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tcMar>
              <w:bottom w:w="6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doub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2" w:type="dxa"/>
            <w:tcBorders>
              <w:top w:val="nil"/>
              <w:left w:val="nil"/>
              <w:bottom w:val="doub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(1,142,366</w:t>
            </w:r>
          </w:p>
        </w:tc>
        <w:tc>
          <w:tcPr>
            <w:tcW w:w="104" w:type="dxa"/>
            <w:tcBorders>
              <w:top w:val="nil"/>
              <w:left w:val="nil"/>
              <w:bottom w:val="nil"/>
              <w:right w:val="nil"/>
            </w:tcBorders>
            <w:shd w:val="clear" w:color="auto" w:fill="FFFFFF"/>
            <w:tcMar>
              <w:bottom w:w="6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both"/>
              <w:rPr>
                <w:rFonts w:ascii="Times New Roman" w:hAnsi="Times New Roman"/>
                <w:color w:val="000000"/>
                <w:sz w:val="20"/>
                <w:szCs w:val="20"/>
              </w:rPr>
            </w:pPr>
            <w:r w:rsidRPr="00E13FC6">
              <w:rPr>
                <w:rFonts w:ascii="Times New Roman" w:hAnsi="Times New Roman"/>
                <w:color w:val="000000"/>
                <w:sz w:val="20"/>
                <w:szCs w:val="20"/>
              </w:rPr>
              <w:t>Loss per common share, basic</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(0.01</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(0.01</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(0.03</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(0.02</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both"/>
              <w:rPr>
                <w:rFonts w:ascii="Times New Roman" w:hAnsi="Times New Roman"/>
                <w:color w:val="000000"/>
                <w:sz w:val="20"/>
                <w:szCs w:val="20"/>
              </w:rPr>
            </w:pPr>
            <w:r w:rsidRPr="00E13FC6">
              <w:rPr>
                <w:rFonts w:ascii="Times New Roman" w:hAnsi="Times New Roman"/>
                <w:color w:val="000000"/>
                <w:sz w:val="20"/>
                <w:szCs w:val="20"/>
              </w:rPr>
              <w:t>Loss per common share, diluted</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(0.01</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(0.01</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(0.03</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(0.02</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Weighted average common shares outstanding - Basic</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49,076,716</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48,791,146</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49,064,036</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48,645,625</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Weighted average common shares outstanding - Diluted</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49,076,716</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48,791,146</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49,064,036</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48,645,625</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bl>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olor w:val="000000"/>
          <w:sz w:val="20"/>
          <w:szCs w:val="20"/>
        </w:rPr>
        <w:t> </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olor w:val="000000"/>
          <w:sz w:val="20"/>
          <w:szCs w:val="20"/>
        </w:rPr>
        <w:t>See accompanying notes to unaudited consolidated financial statements.</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olor w:val="000000"/>
          <w:sz w:val="20"/>
          <w:szCs w:val="20"/>
        </w:rPr>
        <w:t> </w:t>
      </w:r>
    </w:p>
    <w:p w:rsidR="00000000" w:rsidRDefault="00E13FC6">
      <w:pPr>
        <w:widowControl w:val="0"/>
        <w:autoSpaceDE w:val="0"/>
        <w:autoSpaceDN w:val="0"/>
        <w:adjustRightInd w:val="0"/>
        <w:spacing w:after="0" w:line="240" w:lineRule="auto"/>
        <w:rPr>
          <w:rFonts w:ascii="serif" w:hAnsi="serif" w:cs="serif"/>
          <w:color w:val="000000"/>
          <w:sz w:val="24"/>
          <w:szCs w:val="24"/>
        </w:rPr>
        <w:sectPr w:rsidR="00000000">
          <w:headerReference w:type="default" r:id="rId16"/>
          <w:footerReference w:type="default" r:id="rId17"/>
          <w:pgSz w:w="11906" w:h="16838"/>
          <w:pgMar w:top="720" w:right="720" w:bottom="720" w:left="720" w:header="720" w:footer="720" w:gutter="0"/>
          <w:cols w:space="720"/>
          <w:noEndnote/>
        </w:sectPr>
      </w:pPr>
    </w:p>
    <w:p w:rsidR="00000000" w:rsidRDefault="00E13FC6">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olor w:val="000000"/>
          <w:sz w:val="20"/>
          <w:szCs w:val="20"/>
        </w:rPr>
        <w:lastRenderedPageBreak/>
        <w:t> </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b/>
          <w:bCs/>
          <w:color w:val="000000"/>
          <w:sz w:val="20"/>
          <w:szCs w:val="20"/>
        </w:rPr>
        <w:t>MOLLER INTERNATIONAL, INC.</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b/>
          <w:bCs/>
          <w:color w:val="000000"/>
          <w:sz w:val="20"/>
          <w:szCs w:val="20"/>
        </w:rPr>
        <w:t>CONSOLIDATED STATEMENTS OF CASH FLOWS</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b/>
          <w:bCs/>
          <w:color w:val="000000"/>
          <w:sz w:val="20"/>
          <w:szCs w:val="20"/>
        </w:rPr>
        <w:t>Unaudited</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serif" w:hAnsi="serif" w:cs="serif"/>
          <w:color w:val="000000"/>
          <w:sz w:val="24"/>
          <w:szCs w:val="24"/>
        </w:rPr>
        <w:t> </w:t>
      </w:r>
    </w:p>
    <w:tbl>
      <w:tblPr>
        <w:tblW w:w="0" w:type="auto"/>
        <w:tblInd w:w="2" w:type="dxa"/>
        <w:tblLayout w:type="fixed"/>
        <w:tblCellMar>
          <w:left w:w="0" w:type="dxa"/>
          <w:right w:w="0" w:type="dxa"/>
        </w:tblCellMar>
        <w:tblLook w:val="0000" w:firstRow="0" w:lastRow="0" w:firstColumn="0" w:lastColumn="0" w:noHBand="0" w:noVBand="0"/>
      </w:tblPr>
      <w:tblGrid>
        <w:gridCol w:w="7535"/>
        <w:gridCol w:w="104"/>
        <w:gridCol w:w="104"/>
        <w:gridCol w:w="1151"/>
        <w:gridCol w:w="104"/>
        <w:gridCol w:w="104"/>
        <w:gridCol w:w="104"/>
        <w:gridCol w:w="1151"/>
        <w:gridCol w:w="104"/>
      </w:tblGrid>
      <w:tr w:rsidR="00000000" w:rsidRPr="00E13FC6">
        <w:tblPrEx>
          <w:tblCellMar>
            <w:top w:w="0" w:type="dxa"/>
            <w:left w:w="0" w:type="dxa"/>
            <w:bottom w:w="0" w:type="dxa"/>
            <w:right w:w="0" w:type="dxa"/>
          </w:tblCellMar>
        </w:tblPrEx>
        <w:tc>
          <w:tcPr>
            <w:tcW w:w="7535"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2718" w:type="dxa"/>
            <w:gridSpan w:val="6"/>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b/>
                <w:bCs/>
                <w:color w:val="000000"/>
                <w:sz w:val="20"/>
                <w:szCs w:val="20"/>
              </w:rPr>
              <w:t>Nine Months Ended</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5" w:type="dxa"/>
            <w:gridSpan w:val="2"/>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b/>
                <w:bCs/>
                <w:color w:val="000000"/>
                <w:sz w:val="20"/>
                <w:szCs w:val="20"/>
              </w:rPr>
              <w:t>March 31</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5" w:type="dxa"/>
            <w:gridSpan w:val="2"/>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b/>
                <w:bCs/>
                <w:color w:val="000000"/>
                <w:sz w:val="20"/>
                <w:szCs w:val="20"/>
              </w:rPr>
              <w:t>March 31</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b/>
                <w:bCs/>
                <w:color w:val="000000"/>
                <w:sz w:val="20"/>
                <w:szCs w:val="20"/>
              </w:rPr>
              <w:t>2013</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b/>
                <w:bCs/>
                <w:color w:val="000000"/>
                <w:sz w:val="20"/>
                <w:szCs w:val="20"/>
              </w:rPr>
              <w:t>2012</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Cash Flows From Operating Activities</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5" w:type="dxa"/>
            <w:gridSpan w:val="2"/>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5" w:type="dxa"/>
            <w:gridSpan w:val="2"/>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Net loss</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(1,248,186</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(1,142,366</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Adjustments to reconcile net loss to net cash   </w:t>
            </w:r>
          </w:p>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Provided by (used in) operating activities:</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Depreciation expense</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698</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697</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Derivative (gain)/loss</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153,704</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(34,515)</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r w:rsidRPr="00E13FC6">
              <w:rPr>
                <w:rFonts w:ascii="Times New Roman" w:hAnsi="Times New Roman"/>
                <w:color w:val="000000"/>
                <w:sz w:val="20"/>
                <w:szCs w:val="20"/>
              </w:rPr>
              <w:t>Stock based compensation</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19,256</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115,774</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Gain on sale of fixed assets</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(6,717)</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Debt discount amortization</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71,406</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62,577</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Change in assets and liabilities:</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r w:rsidRPr="00E13FC6">
              <w:rPr>
                <w:rFonts w:ascii="Times New Roman" w:hAnsi="Times New Roman"/>
                <w:color w:val="000000"/>
                <w:sz w:val="20"/>
                <w:szCs w:val="20"/>
              </w:rPr>
              <w:t>Prepaid expenses</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(2,571</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Other assets</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319</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7,891</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Accounts payable</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(40,849</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15,330</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Accrued liabilities - related parties</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793,353</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595,001</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r w:rsidRPr="00E13FC6">
              <w:rPr>
                <w:rFonts w:ascii="Times New Roman" w:hAnsi="Times New Roman"/>
                <w:color w:val="000000"/>
                <w:sz w:val="20"/>
                <w:szCs w:val="20"/>
              </w:rPr>
              <w:t>Accrued liabilities and deferred wages</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228,149</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412,079</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Net Cash Provided By (Used in) Operating Activities</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(24,721)</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25,751</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Cash Used in Investing Activities</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r w:rsidRPr="00E13FC6">
              <w:rPr>
                <w:rFonts w:ascii="Times New Roman" w:hAnsi="Times New Roman"/>
                <w:color w:val="000000"/>
                <w:sz w:val="20"/>
                <w:szCs w:val="20"/>
              </w:rPr>
              <w:t>Cash received from sale of fixed asset</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6,717</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Advances to employees</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Net Cash Provided by (Used in) Investing Activities</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6,717</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Cash Flows Provided from Financing Activities</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Proceeds from note payable</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230,000</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Proceeds from notes payable</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42,500</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196,380</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Proceeds from convertible note payable</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37,000</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Additions to related party note payable</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2,037</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Payments on related party note payable</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(212,500</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(284,047</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Net Cash Provided by (Used in) Financing Activities</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62,037</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(50,667</w:t>
            </w:r>
          </w:p>
        </w:tc>
        <w:tc>
          <w:tcPr>
            <w:tcW w:w="104"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Net Increase (Decrease) In Cash</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37,316</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(18,199</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Cash, Beginning of Year</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2,123</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single" w:sz="8" w:space="0" w:color="000000"/>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24,217</w:t>
            </w:r>
          </w:p>
        </w:tc>
        <w:tc>
          <w:tcPr>
            <w:tcW w:w="104" w:type="dxa"/>
            <w:tcBorders>
              <w:top w:val="nil"/>
              <w:left w:val="nil"/>
              <w:bottom w:val="nil"/>
              <w:right w:val="nil"/>
            </w:tcBorders>
            <w:shd w:val="clear" w:color="auto" w:fill="FFFFFF"/>
            <w:tcMar>
              <w:bottom w:w="30" w:type="dxa"/>
            </w:tcMar>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tcMar>
              <w:bottom w:w="6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Cash, End of Year</w:t>
            </w:r>
          </w:p>
        </w:tc>
        <w:tc>
          <w:tcPr>
            <w:tcW w:w="104" w:type="dxa"/>
            <w:tcBorders>
              <w:top w:val="nil"/>
              <w:left w:val="nil"/>
              <w:bottom w:val="nil"/>
              <w:right w:val="nil"/>
            </w:tcBorders>
            <w:shd w:val="clear" w:color="auto" w:fill="CCEEFF"/>
            <w:tcMar>
              <w:bottom w:w="6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39,439</w:t>
            </w:r>
          </w:p>
        </w:tc>
        <w:tc>
          <w:tcPr>
            <w:tcW w:w="104" w:type="dxa"/>
            <w:tcBorders>
              <w:top w:val="nil"/>
              <w:left w:val="nil"/>
              <w:bottom w:val="nil"/>
              <w:right w:val="nil"/>
            </w:tcBorders>
            <w:shd w:val="clear" w:color="auto" w:fill="CCEEFF"/>
            <w:tcMar>
              <w:bottom w:w="6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6,018</w:t>
            </w:r>
          </w:p>
        </w:tc>
        <w:tc>
          <w:tcPr>
            <w:tcW w:w="104" w:type="dxa"/>
            <w:tcBorders>
              <w:top w:val="nil"/>
              <w:left w:val="nil"/>
              <w:bottom w:val="nil"/>
              <w:right w:val="nil"/>
            </w:tcBorders>
            <w:shd w:val="clear" w:color="auto" w:fill="CCEEFF"/>
            <w:tcMar>
              <w:bottom w:w="6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Supplemental Cash Flow Information:</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ind w:firstLine="180"/>
              <w:rPr>
                <w:rFonts w:ascii="Times New Roman" w:hAnsi="Times New Roman"/>
                <w:color w:val="000000"/>
                <w:sz w:val="20"/>
                <w:szCs w:val="20"/>
              </w:rPr>
            </w:pPr>
            <w:r w:rsidRPr="00E13FC6">
              <w:rPr>
                <w:rFonts w:ascii="Times New Roman" w:hAnsi="Times New Roman"/>
                <w:color w:val="000000"/>
                <w:sz w:val="20"/>
                <w:szCs w:val="20"/>
              </w:rPr>
              <w:t>Interest paid</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2,127</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Supplemental Disclosure of Non-Cash</w:t>
            </w:r>
          </w:p>
          <w:p w:rsidR="00000000" w:rsidRPr="00E13FC6" w:rsidRDefault="00E13FC6">
            <w:pPr>
              <w:widowControl w:val="0"/>
              <w:shd w:val="clear" w:color="auto" w:fill="CCEEFF"/>
              <w:autoSpaceDE w:val="0"/>
              <w:autoSpaceDN w:val="0"/>
              <w:adjustRightInd w:val="0"/>
              <w:spacing w:after="0" w:line="240" w:lineRule="auto"/>
              <w:ind w:left="360" w:hanging="360"/>
              <w:rPr>
                <w:rFonts w:ascii="Times New Roman" w:hAnsi="Times New Roman"/>
                <w:color w:val="000000"/>
                <w:sz w:val="20"/>
                <w:szCs w:val="20"/>
              </w:rPr>
            </w:pPr>
            <w:r w:rsidRPr="00E13FC6">
              <w:rPr>
                <w:rFonts w:ascii="Times New Roman" w:hAnsi="Times New Roman"/>
                <w:color w:val="000000"/>
                <w:sz w:val="20"/>
                <w:szCs w:val="20"/>
              </w:rPr>
              <w:t>Financing Activities:</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ind w:firstLine="180"/>
              <w:rPr>
                <w:rFonts w:ascii="Times New Roman" w:hAnsi="Times New Roman"/>
                <w:color w:val="000000"/>
                <w:sz w:val="20"/>
                <w:szCs w:val="20"/>
              </w:rPr>
            </w:pPr>
            <w:r w:rsidRPr="00E13FC6">
              <w:rPr>
                <w:rFonts w:ascii="Times New Roman" w:hAnsi="Times New Roman"/>
                <w:color w:val="000000"/>
                <w:sz w:val="20"/>
                <w:szCs w:val="20"/>
              </w:rPr>
              <w:t>Shares issued as repayment customer deposit</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5,500</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ind w:firstLine="180"/>
              <w:rPr>
                <w:rFonts w:ascii="Times New Roman" w:hAnsi="Times New Roman"/>
                <w:color w:val="000000"/>
                <w:sz w:val="20"/>
                <w:szCs w:val="20"/>
              </w:rPr>
            </w:pPr>
            <w:r w:rsidRPr="00E13FC6">
              <w:rPr>
                <w:rFonts w:ascii="Times New Roman" w:hAnsi="Times New Roman"/>
                <w:color w:val="000000"/>
                <w:sz w:val="20"/>
                <w:szCs w:val="20"/>
              </w:rPr>
              <w:t>Debt discount due to derivative liabilities</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99,454</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178,695</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Pr="00E13FC6" w:rsidRDefault="00E13FC6">
            <w:pPr>
              <w:widowControl w:val="0"/>
              <w:shd w:val="clear" w:color="auto" w:fill="FFFFFF"/>
              <w:tabs>
                <w:tab w:val="left" w:pos="180"/>
                <w:tab w:val="left" w:pos="360"/>
                <w:tab w:val="left" w:pos="540"/>
              </w:tabs>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Reclassification of derivatives from equity</w:t>
            </w:r>
            <w:r w:rsidRPr="00E13FC6">
              <w:rPr>
                <w:rFonts w:ascii="Times New Roman" w:hAnsi="Times New Roman"/>
                <w:color w:val="000000"/>
                <w:sz w:val="20"/>
                <w:szCs w:val="20"/>
              </w:rPr>
              <w:tab/>
            </w:r>
            <w:r w:rsidRPr="00E13FC6">
              <w:rPr>
                <w:rFonts w:ascii="Times New Roman" w:hAnsi="Times New Roman"/>
                <w:color w:val="000000"/>
                <w:sz w:val="20"/>
                <w:szCs w:val="20"/>
              </w:rPr>
              <w:tab/>
            </w:r>
            <w:r w:rsidRPr="00E13FC6">
              <w:rPr>
                <w:rFonts w:ascii="Times New Roman" w:hAnsi="Times New Roman"/>
                <w:color w:val="000000"/>
                <w:sz w:val="20"/>
                <w:szCs w:val="20"/>
              </w:rPr>
              <w:tab/>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 7,960</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r>
    </w:tbl>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serif" w:hAnsi="serif" w:cs="serif"/>
          <w:color w:val="000000"/>
          <w:sz w:val="24"/>
          <w:szCs w:val="24"/>
        </w:rPr>
        <w:t> </w:t>
      </w:r>
    </w:p>
    <w:p w:rsidR="00000000" w:rsidRDefault="00E13FC6">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olor w:val="000000"/>
          <w:sz w:val="20"/>
          <w:szCs w:val="20"/>
        </w:rPr>
        <w:t>See accompanying notes to unaudited consolidated financial statements.</w:t>
      </w:r>
    </w:p>
    <w:p w:rsidR="00000000" w:rsidRDefault="00E13FC6">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olor w:val="000000"/>
          <w:sz w:val="20"/>
          <w:szCs w:val="20"/>
        </w:rPr>
        <w:t> </w:t>
      </w:r>
    </w:p>
    <w:p w:rsidR="00000000" w:rsidRDefault="00E13FC6">
      <w:pPr>
        <w:widowControl w:val="0"/>
        <w:autoSpaceDE w:val="0"/>
        <w:autoSpaceDN w:val="0"/>
        <w:adjustRightInd w:val="0"/>
        <w:spacing w:after="0" w:line="240" w:lineRule="auto"/>
        <w:rPr>
          <w:rFonts w:ascii="serif" w:hAnsi="serif" w:cs="serif"/>
          <w:color w:val="000000"/>
          <w:sz w:val="24"/>
          <w:szCs w:val="24"/>
        </w:rPr>
        <w:sectPr w:rsidR="00000000">
          <w:headerReference w:type="default" r:id="rId18"/>
          <w:footerReference w:type="default" r:id="rId19"/>
          <w:pgSz w:w="11906" w:h="16838"/>
          <w:pgMar w:top="720" w:right="720" w:bottom="720" w:left="720" w:header="720" w:footer="720" w:gutter="0"/>
          <w:cols w:space="720"/>
          <w:noEndnote/>
        </w:sectPr>
      </w:pP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b/>
          <w:bCs/>
          <w:color w:val="000000"/>
          <w:sz w:val="20"/>
          <w:szCs w:val="20"/>
        </w:rPr>
        <w:lastRenderedPageBreak/>
        <w:t> </w:t>
      </w: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b/>
          <w:bCs/>
          <w:color w:val="000000"/>
          <w:sz w:val="20"/>
          <w:szCs w:val="20"/>
        </w:rPr>
        <w:t>Moller International, Inc.</w:t>
      </w: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b/>
          <w:bCs/>
          <w:color w:val="000000"/>
          <w:sz w:val="20"/>
          <w:szCs w:val="20"/>
        </w:rPr>
        <w:t>Notes To Consolidated Financial Statements</w:t>
      </w: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b/>
          <w:bCs/>
          <w:color w:val="000000"/>
          <w:sz w:val="20"/>
          <w:szCs w:val="20"/>
        </w:rPr>
        <w:t>Unaudited</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b/>
          <w:bCs/>
          <w:color w:val="000000"/>
          <w:sz w:val="20"/>
          <w:szCs w:val="20"/>
        </w:rPr>
        <w:t xml:space="preserve">NOTE A </w:t>
      </w:r>
      <w:r w:rsidRPr="00A727E1">
        <w:rPr>
          <w:rFonts w:ascii="Times New Roman" w:hAnsi="Times New Roman"/>
          <w:b/>
          <w:bCs/>
          <w:color w:val="000000"/>
          <w:sz w:val="20"/>
          <w:szCs w:val="20"/>
        </w:rPr>
        <w:t>–</w:t>
      </w:r>
      <w:r w:rsidRPr="00A727E1">
        <w:rPr>
          <w:rFonts w:ascii="Times New Roman" w:hAnsi="Times New Roman"/>
          <w:b/>
          <w:bCs/>
          <w:color w:val="000000"/>
          <w:sz w:val="20"/>
          <w:szCs w:val="20"/>
        </w:rPr>
        <w:t xml:space="preserve"> ORGANIZATION AND BASIS OF PRESENTATION</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The accompanying unaudited financial sta</w:t>
      </w:r>
      <w:r w:rsidRPr="00A727E1">
        <w:rPr>
          <w:rFonts w:ascii="Times New Roman" w:hAnsi="Times New Roman"/>
          <w:color w:val="000000"/>
          <w:sz w:val="20"/>
          <w:szCs w:val="20"/>
        </w:rPr>
        <w:t>tements of Moller International, Inc. (</w:t>
      </w:r>
      <w:r w:rsidRPr="00A727E1">
        <w:rPr>
          <w:rFonts w:ascii="Times New Roman" w:hAnsi="Times New Roman"/>
          <w:color w:val="000000"/>
          <w:sz w:val="20"/>
          <w:szCs w:val="20"/>
        </w:rPr>
        <w:t>“</w:t>
      </w:r>
      <w:r w:rsidRPr="00A727E1">
        <w:rPr>
          <w:rFonts w:ascii="Times New Roman" w:hAnsi="Times New Roman"/>
          <w:color w:val="000000"/>
          <w:sz w:val="20"/>
          <w:szCs w:val="20"/>
        </w:rPr>
        <w:t>MI</w:t>
      </w:r>
      <w:r w:rsidRPr="00A727E1">
        <w:rPr>
          <w:rFonts w:ascii="Times New Roman" w:hAnsi="Times New Roman"/>
          <w:color w:val="000000"/>
          <w:sz w:val="20"/>
          <w:szCs w:val="20"/>
        </w:rPr>
        <w:t>”</w:t>
      </w:r>
      <w:r w:rsidRPr="00A727E1">
        <w:rPr>
          <w:rFonts w:ascii="Times New Roman" w:hAnsi="Times New Roman"/>
          <w:color w:val="000000"/>
          <w:sz w:val="20"/>
          <w:szCs w:val="20"/>
        </w:rPr>
        <w:t>) have been prepared in accordance with generally accepted accounting principles for interim financial information and with the instructions to Form 10-Q.  Accordingly, these financial statements may not include a</w:t>
      </w:r>
      <w:r w:rsidRPr="00A727E1">
        <w:rPr>
          <w:rFonts w:ascii="Times New Roman" w:hAnsi="Times New Roman"/>
          <w:color w:val="000000"/>
          <w:sz w:val="20"/>
          <w:szCs w:val="20"/>
        </w:rPr>
        <w:t>ll of the information and disclosures required by generally accepted accounting principles for complete financial statements. These financial statements should be read in conjunction with the audited financial statements and the notes thereto for the fisca</w:t>
      </w:r>
      <w:r w:rsidRPr="00A727E1">
        <w:rPr>
          <w:rFonts w:ascii="Times New Roman" w:hAnsi="Times New Roman"/>
          <w:color w:val="000000"/>
          <w:sz w:val="20"/>
          <w:szCs w:val="20"/>
        </w:rPr>
        <w:t>l year ended June 30, 2012 filed on Form 10-K. In the opinion of management, the accompanying unaudited financial statements contain all adjustments necessary to fairly present MI</w:t>
      </w:r>
      <w:r w:rsidRPr="00A727E1">
        <w:rPr>
          <w:rFonts w:ascii="Times New Roman" w:hAnsi="Times New Roman"/>
          <w:color w:val="000000"/>
          <w:sz w:val="20"/>
          <w:szCs w:val="20"/>
        </w:rPr>
        <w:t>’</w:t>
      </w:r>
      <w:r w:rsidRPr="00A727E1">
        <w:rPr>
          <w:rFonts w:ascii="Times New Roman" w:hAnsi="Times New Roman"/>
          <w:color w:val="000000"/>
          <w:sz w:val="20"/>
          <w:szCs w:val="20"/>
        </w:rPr>
        <w:t>s financial position as of March 31, 2013, and its results of operations and</w:t>
      </w:r>
      <w:r w:rsidRPr="00A727E1">
        <w:rPr>
          <w:rFonts w:ascii="Times New Roman" w:hAnsi="Times New Roman"/>
          <w:color w:val="000000"/>
          <w:sz w:val="20"/>
          <w:szCs w:val="20"/>
        </w:rPr>
        <w:t xml:space="preserve"> its cash flows for the nine months ended March 31, 2013 and 2012. The results of operations for the interim periods are not necessarily indicative of the results to be expected for the full year.  Notes to the consolidated financial statements which would</w:t>
      </w:r>
      <w:r w:rsidRPr="00A727E1">
        <w:rPr>
          <w:rFonts w:ascii="Times New Roman" w:hAnsi="Times New Roman"/>
          <w:color w:val="000000"/>
          <w:sz w:val="20"/>
          <w:szCs w:val="20"/>
        </w:rPr>
        <w:t xml:space="preserve"> substantially duplicate the disclosure contained in the audited consolidated financial statements for 2012 as reported in the 10-K have been omitted.</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b/>
          <w:bCs/>
          <w:i/>
          <w:iCs/>
          <w:color w:val="000000"/>
          <w:sz w:val="20"/>
          <w:szCs w:val="20"/>
        </w:rPr>
        <w:t>Embedded conversion features</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The Company evaluates embedded conversion features within convertible deb</w:t>
      </w:r>
      <w:r w:rsidRPr="00A727E1">
        <w:rPr>
          <w:rFonts w:ascii="Times New Roman" w:hAnsi="Times New Roman"/>
          <w:color w:val="000000"/>
          <w:sz w:val="20"/>
          <w:szCs w:val="20"/>
        </w:rPr>
        <w:t xml:space="preserve">t and convertible preferred stock under ASC 815 </w:t>
      </w:r>
      <w:r w:rsidRPr="00A727E1">
        <w:rPr>
          <w:rFonts w:ascii="Times New Roman" w:hAnsi="Times New Roman"/>
          <w:color w:val="000000"/>
          <w:sz w:val="20"/>
          <w:szCs w:val="20"/>
        </w:rPr>
        <w:t>“</w:t>
      </w:r>
      <w:r w:rsidRPr="00A727E1">
        <w:rPr>
          <w:rFonts w:ascii="Times New Roman" w:hAnsi="Times New Roman"/>
          <w:color w:val="000000"/>
          <w:sz w:val="20"/>
          <w:szCs w:val="20"/>
        </w:rPr>
        <w:t>Derivatives and Hedging</w:t>
      </w:r>
      <w:r w:rsidRPr="00A727E1">
        <w:rPr>
          <w:rFonts w:ascii="Times New Roman" w:hAnsi="Times New Roman"/>
          <w:color w:val="000000"/>
          <w:sz w:val="20"/>
          <w:szCs w:val="20"/>
        </w:rPr>
        <w:t>”</w:t>
      </w:r>
      <w:r w:rsidRPr="00A727E1">
        <w:rPr>
          <w:rFonts w:ascii="Times New Roman" w:hAnsi="Times New Roman"/>
          <w:color w:val="000000"/>
          <w:sz w:val="20"/>
          <w:szCs w:val="20"/>
        </w:rPr>
        <w:t xml:space="preserve"> to determine whether the embedded conversion features should be bifurcated from the host instrument and accounted for as a derivative at fair value with changes in fair value recorde</w:t>
      </w:r>
      <w:r w:rsidRPr="00A727E1">
        <w:rPr>
          <w:rFonts w:ascii="Times New Roman" w:hAnsi="Times New Roman"/>
          <w:color w:val="000000"/>
          <w:sz w:val="20"/>
          <w:szCs w:val="20"/>
        </w:rPr>
        <w:t xml:space="preserve">d in earnings. If the conversion feature does not require derivative treatment under ASC 815, the instrument is evaluated under ASC 470-20 </w:t>
      </w:r>
      <w:r w:rsidRPr="00A727E1">
        <w:rPr>
          <w:rFonts w:ascii="Times New Roman" w:hAnsi="Times New Roman"/>
          <w:color w:val="000000"/>
          <w:sz w:val="20"/>
          <w:szCs w:val="20"/>
        </w:rPr>
        <w:t>“</w:t>
      </w:r>
      <w:r w:rsidRPr="00A727E1">
        <w:rPr>
          <w:rFonts w:ascii="Times New Roman" w:hAnsi="Times New Roman"/>
          <w:color w:val="000000"/>
          <w:sz w:val="20"/>
          <w:szCs w:val="20"/>
        </w:rPr>
        <w:t>Debt with Conversion and Other Options</w:t>
      </w:r>
      <w:r w:rsidRPr="00A727E1">
        <w:rPr>
          <w:rFonts w:ascii="Times New Roman" w:hAnsi="Times New Roman"/>
          <w:color w:val="000000"/>
          <w:sz w:val="20"/>
          <w:szCs w:val="20"/>
        </w:rPr>
        <w:t>”</w:t>
      </w:r>
      <w:r w:rsidRPr="00A727E1">
        <w:rPr>
          <w:rFonts w:ascii="Times New Roman" w:hAnsi="Times New Roman"/>
          <w:color w:val="000000"/>
          <w:sz w:val="20"/>
          <w:szCs w:val="20"/>
        </w:rPr>
        <w:t xml:space="preserve"> for consideration of any beneficial conversion feature.</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b/>
          <w:bCs/>
          <w:color w:val="000000"/>
          <w:sz w:val="20"/>
          <w:szCs w:val="20"/>
        </w:rPr>
        <w:t xml:space="preserve">NOTE B </w:t>
      </w:r>
      <w:r w:rsidRPr="00A727E1">
        <w:rPr>
          <w:rFonts w:ascii="Times New Roman" w:hAnsi="Times New Roman"/>
          <w:b/>
          <w:bCs/>
          <w:color w:val="000000"/>
          <w:sz w:val="20"/>
          <w:szCs w:val="20"/>
        </w:rPr>
        <w:t>–</w:t>
      </w:r>
      <w:r w:rsidRPr="00A727E1">
        <w:rPr>
          <w:rFonts w:ascii="Times New Roman" w:hAnsi="Times New Roman"/>
          <w:b/>
          <w:bCs/>
          <w:color w:val="000000"/>
          <w:sz w:val="20"/>
          <w:szCs w:val="20"/>
        </w:rPr>
        <w:t xml:space="preserve"> GOING CONC</w:t>
      </w:r>
      <w:r w:rsidRPr="00A727E1">
        <w:rPr>
          <w:rFonts w:ascii="Times New Roman" w:hAnsi="Times New Roman"/>
          <w:b/>
          <w:bCs/>
          <w:color w:val="000000"/>
          <w:sz w:val="20"/>
          <w:szCs w:val="20"/>
        </w:rPr>
        <w:t>ERN</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xml:space="preserve">As of March 31, 2013, MI had an accumulated deficit of $51,853,987 and a working capital deficit of $12,826,897.  In addition, MI is currently in the development stage of the </w:t>
      </w:r>
      <w:proofErr w:type="spellStart"/>
      <w:r w:rsidRPr="00A727E1">
        <w:rPr>
          <w:rFonts w:ascii="Times New Roman" w:hAnsi="Times New Roman"/>
          <w:color w:val="000000"/>
          <w:sz w:val="20"/>
          <w:szCs w:val="20"/>
        </w:rPr>
        <w:t>Skycar</w:t>
      </w:r>
      <w:proofErr w:type="spellEnd"/>
      <w:r w:rsidRPr="00A727E1">
        <w:rPr>
          <w:rFonts w:ascii="Times New Roman" w:hAnsi="Times New Roman"/>
          <w:color w:val="000000"/>
          <w:sz w:val="20"/>
          <w:szCs w:val="20"/>
        </w:rPr>
        <w:t xml:space="preserve"> and </w:t>
      </w:r>
      <w:proofErr w:type="spellStart"/>
      <w:r w:rsidRPr="00A727E1">
        <w:rPr>
          <w:rFonts w:ascii="Times New Roman" w:hAnsi="Times New Roman"/>
          <w:color w:val="000000"/>
          <w:sz w:val="20"/>
          <w:szCs w:val="20"/>
        </w:rPr>
        <w:t>Rotapower</w:t>
      </w:r>
      <w:proofErr w:type="spellEnd"/>
      <w:r w:rsidRPr="00A727E1">
        <w:rPr>
          <w:rFonts w:ascii="Times New Roman" w:hAnsi="Times New Roman"/>
          <w:color w:val="000000"/>
          <w:sz w:val="20"/>
          <w:szCs w:val="20"/>
        </w:rPr>
        <w:t xml:space="preserve"> engine programs, and has no revenue producing products.</w:t>
      </w:r>
      <w:r w:rsidRPr="00A727E1">
        <w:rPr>
          <w:rFonts w:ascii="Times New Roman" w:hAnsi="Times New Roman"/>
          <w:color w:val="000000"/>
          <w:sz w:val="20"/>
          <w:szCs w:val="20"/>
        </w:rPr>
        <w:t xml:space="preserve">  Successful completion of product development activities for either or both of these programs will require significant additional sources of capital. These conditions raise substantial doubt as to our ability to continue as a going concern. Historically, </w:t>
      </w:r>
      <w:r w:rsidRPr="00A727E1">
        <w:rPr>
          <w:rFonts w:ascii="Times New Roman" w:hAnsi="Times New Roman"/>
          <w:color w:val="000000"/>
          <w:sz w:val="20"/>
          <w:szCs w:val="20"/>
        </w:rPr>
        <w:t>funding was provided by certain shareholders, including the majority shareholder, in the form of short-term notes payable. In addition, the majority shareholder granted us a deferral on the payment of rent for our building. There is no assurance that we wi</w:t>
      </w:r>
      <w:r w:rsidRPr="00A727E1">
        <w:rPr>
          <w:rFonts w:ascii="Times New Roman" w:hAnsi="Times New Roman"/>
          <w:color w:val="000000"/>
          <w:sz w:val="20"/>
          <w:szCs w:val="20"/>
        </w:rPr>
        <w:t>ll continue to receive funding from shareholders, particularly our major shareholder given he has filed for protection under the federal Chapter 11 reorganization provisions of the federal bankruptcy law. Consequently, we are evaluating several alternative</w:t>
      </w:r>
      <w:r w:rsidRPr="00A727E1">
        <w:rPr>
          <w:rFonts w:ascii="Times New Roman" w:hAnsi="Times New Roman"/>
          <w:color w:val="000000"/>
          <w:sz w:val="20"/>
          <w:szCs w:val="20"/>
        </w:rPr>
        <w:t xml:space="preserve">s to raise the additional capital through debt or equity transactions.  There is no assurance that our efforts will be successful, however, and the financial statements do not include any adjustments that might be necessary if we are unable to continue as </w:t>
      </w:r>
      <w:r w:rsidRPr="00A727E1">
        <w:rPr>
          <w:rFonts w:ascii="Times New Roman" w:hAnsi="Times New Roman"/>
          <w:color w:val="000000"/>
          <w:sz w:val="20"/>
          <w:szCs w:val="20"/>
        </w:rPr>
        <w:t>a going concern.</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b/>
          <w:bCs/>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b/>
          <w:bCs/>
          <w:color w:val="000000"/>
          <w:sz w:val="20"/>
          <w:szCs w:val="20"/>
        </w:rPr>
        <w:t xml:space="preserve">NOTE C </w:t>
      </w:r>
      <w:r w:rsidRPr="00A727E1">
        <w:rPr>
          <w:rFonts w:ascii="Times New Roman" w:hAnsi="Times New Roman"/>
          <w:b/>
          <w:bCs/>
          <w:color w:val="000000"/>
          <w:sz w:val="20"/>
          <w:szCs w:val="20"/>
        </w:rPr>
        <w:t>–</w:t>
      </w:r>
      <w:r w:rsidRPr="00A727E1">
        <w:rPr>
          <w:rFonts w:ascii="Times New Roman" w:hAnsi="Times New Roman"/>
          <w:b/>
          <w:bCs/>
          <w:color w:val="000000"/>
          <w:sz w:val="20"/>
          <w:szCs w:val="20"/>
        </w:rPr>
        <w:t xml:space="preserve"> NOTES PAYABLE &amp; DERIVATIVE LIABILITIES</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i/>
          <w:iCs/>
          <w:color w:val="000000"/>
          <w:sz w:val="20"/>
          <w:szCs w:val="20"/>
        </w:rPr>
        <w:t>Notes Payable</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During the nine months ended March 31, 2013 and 2012 MI made repayments on related party notes payable of $212,500 and $284,047 respectively. During the nine months ended March 31, 2013 and 2012 MI made borrowings on related party notes payable of $2,037 a</w:t>
      </w:r>
      <w:r w:rsidRPr="00A727E1">
        <w:rPr>
          <w:rFonts w:ascii="Times New Roman" w:hAnsi="Times New Roman"/>
          <w:color w:val="000000"/>
          <w:sz w:val="20"/>
          <w:szCs w:val="20"/>
        </w:rPr>
        <w:t>nd $0 respectively.</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xml:space="preserve">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During the nine months ended March 31, 2013 and 2012 MI received $230,000 and $37,000 related to promissory notes. 400,000 options and 60,000 warrants were issued to the note holders in consideration for the notes payable. A debt disc</w:t>
      </w:r>
      <w:r w:rsidRPr="00A727E1">
        <w:rPr>
          <w:rFonts w:ascii="Times New Roman" w:hAnsi="Times New Roman"/>
          <w:color w:val="000000"/>
          <w:sz w:val="20"/>
          <w:szCs w:val="20"/>
        </w:rPr>
        <w:t>ount of $99,454 was recorded as a result of these option and warrant issuances.</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xml:space="preserve">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i/>
          <w:iCs/>
          <w:color w:val="000000"/>
          <w:sz w:val="20"/>
          <w:szCs w:val="20"/>
        </w:rPr>
        <w:t>Convertible Notes Payable &amp; Derivative Liabilities</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xml:space="preserve">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During the nine months ended March 31, 2013 and 2012 MI received $42,500 and $196,380 related to convertible promissory n</w:t>
      </w:r>
      <w:r w:rsidRPr="00A727E1">
        <w:rPr>
          <w:rFonts w:ascii="Times New Roman" w:hAnsi="Times New Roman"/>
          <w:color w:val="000000"/>
          <w:sz w:val="20"/>
          <w:szCs w:val="20"/>
        </w:rPr>
        <w:t>otes.  The convertible promissory notes issued during the nine months ended March 31, 2013 accrue interest at 10% per annum and mature in December 2013. Additionally, the notes are convertible into shares of common stock after 180 days from issuance at a p</w:t>
      </w:r>
      <w:r w:rsidRPr="00A727E1">
        <w:rPr>
          <w:rFonts w:ascii="Times New Roman" w:hAnsi="Times New Roman"/>
          <w:color w:val="000000"/>
          <w:sz w:val="20"/>
          <w:szCs w:val="20"/>
        </w:rPr>
        <w:t>rice equal to 58% of the lowest three prices during the ten trading days prior to the date of conversion. As of March 31, 2013, these notes are not convertible; accordingly, derivative accounting does not apply. The convertible notes issued in the nine mon</w:t>
      </w:r>
      <w:r w:rsidRPr="00A727E1">
        <w:rPr>
          <w:rFonts w:ascii="Times New Roman" w:hAnsi="Times New Roman"/>
          <w:color w:val="000000"/>
          <w:sz w:val="20"/>
          <w:szCs w:val="20"/>
        </w:rPr>
        <w:t>ths ended March 31, 2012 accrue interest at 10% per annum and matured at various dates prior to September 30, 2012.  The notes were not repaid upon maturity and are convertible into shares of MI common stock at a conversion ratio of 15% below the market pr</w:t>
      </w:r>
      <w:r w:rsidRPr="00A727E1">
        <w:rPr>
          <w:rFonts w:ascii="Times New Roman" w:hAnsi="Times New Roman"/>
          <w:color w:val="000000"/>
          <w:sz w:val="20"/>
          <w:szCs w:val="20"/>
        </w:rPr>
        <w:t>ice of MI common stock at the time of conversion. </w:t>
      </w: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sectPr w:rsidR="00000000" w:rsidRPr="00A727E1">
          <w:headerReference w:type="default" r:id="rId20"/>
          <w:footerReference w:type="default" r:id="rId21"/>
          <w:pgSz w:w="11906" w:h="16838"/>
          <w:pgMar w:top="720" w:right="720" w:bottom="720" w:left="720" w:header="720" w:footer="720" w:gutter="0"/>
          <w:cols w:space="720"/>
          <w:noEndnote/>
        </w:sect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lastRenderedPageBreak/>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xml:space="preserve">The Company analyzed the conversion options for derivative accounting consideration under ASC 815-15 </w:t>
      </w:r>
      <w:r w:rsidRPr="00A727E1">
        <w:rPr>
          <w:rFonts w:ascii="Times New Roman" w:hAnsi="Times New Roman"/>
          <w:color w:val="000000"/>
          <w:sz w:val="20"/>
          <w:szCs w:val="20"/>
        </w:rPr>
        <w:t>“</w:t>
      </w:r>
      <w:r w:rsidRPr="00A727E1">
        <w:rPr>
          <w:rFonts w:ascii="Times New Roman" w:hAnsi="Times New Roman"/>
          <w:color w:val="000000"/>
          <w:sz w:val="20"/>
          <w:szCs w:val="20"/>
        </w:rPr>
        <w:t>Derivatives and Hedging</w:t>
      </w:r>
      <w:r w:rsidRPr="00A727E1">
        <w:rPr>
          <w:rFonts w:ascii="Times New Roman" w:hAnsi="Times New Roman"/>
          <w:color w:val="000000"/>
          <w:sz w:val="20"/>
          <w:szCs w:val="20"/>
        </w:rPr>
        <w:t>”</w:t>
      </w:r>
      <w:r w:rsidRPr="00A727E1">
        <w:rPr>
          <w:rFonts w:ascii="Times New Roman" w:hAnsi="Times New Roman"/>
          <w:color w:val="000000"/>
          <w:sz w:val="20"/>
          <w:szCs w:val="20"/>
        </w:rPr>
        <w:t xml:space="preserve"> and determined that the embedded co</w:t>
      </w:r>
      <w:r w:rsidRPr="00A727E1">
        <w:rPr>
          <w:rFonts w:ascii="Times New Roman" w:hAnsi="Times New Roman"/>
          <w:color w:val="000000"/>
          <w:sz w:val="20"/>
          <w:szCs w:val="20"/>
        </w:rPr>
        <w:t>nversion features should be classified as liabilities due to their being no explicit limit to the number of shares to be delivered upon settlement of the above conversion options. The embedded conversion features were measured at fair value at inception wi</w:t>
      </w:r>
      <w:r w:rsidRPr="00A727E1">
        <w:rPr>
          <w:rFonts w:ascii="Times New Roman" w:hAnsi="Times New Roman"/>
          <w:color w:val="000000"/>
          <w:sz w:val="20"/>
          <w:szCs w:val="20"/>
        </w:rPr>
        <w:t>th the change in fair value recorded to earnings. Additionally, because there is no explicit limit to the number of shares to be issued upon conversion of the above instruments, the Company cannot determine if it will have sufficient authorized shares to s</w:t>
      </w:r>
      <w:r w:rsidRPr="00A727E1">
        <w:rPr>
          <w:rFonts w:ascii="Times New Roman" w:hAnsi="Times New Roman"/>
          <w:color w:val="000000"/>
          <w:sz w:val="20"/>
          <w:szCs w:val="20"/>
        </w:rPr>
        <w:t>ettle all other share-</w:t>
      </w:r>
      <w:proofErr w:type="spellStart"/>
      <w:r w:rsidRPr="00A727E1">
        <w:rPr>
          <w:rFonts w:ascii="Times New Roman" w:hAnsi="Times New Roman"/>
          <w:color w:val="000000"/>
          <w:sz w:val="20"/>
          <w:szCs w:val="20"/>
        </w:rPr>
        <w:t>settleable</w:t>
      </w:r>
      <w:proofErr w:type="spellEnd"/>
      <w:r w:rsidRPr="00A727E1">
        <w:rPr>
          <w:rFonts w:ascii="Times New Roman" w:hAnsi="Times New Roman"/>
          <w:color w:val="000000"/>
          <w:sz w:val="20"/>
          <w:szCs w:val="20"/>
        </w:rPr>
        <w:t xml:space="preserve"> instruments, including the warrants granted above.  As a result, all other share-settable instruments have also been classified as liabilities.</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tbl>
      <w:tblPr>
        <w:tblW w:w="0" w:type="auto"/>
        <w:tblInd w:w="1310" w:type="dxa"/>
        <w:tblLayout w:type="fixed"/>
        <w:tblCellMar>
          <w:left w:w="0" w:type="dxa"/>
          <w:right w:w="0" w:type="dxa"/>
        </w:tblCellMar>
        <w:tblLook w:val="0000" w:firstRow="0" w:lastRow="0" w:firstColumn="0" w:lastColumn="0" w:noHBand="0" w:noVBand="0"/>
      </w:tblPr>
      <w:tblGrid>
        <w:gridCol w:w="5166"/>
        <w:gridCol w:w="479"/>
        <w:gridCol w:w="479"/>
        <w:gridCol w:w="1242"/>
        <w:gridCol w:w="479"/>
      </w:tblGrid>
      <w:tr w:rsidR="00000000" w:rsidRPr="00E13FC6">
        <w:tblPrEx>
          <w:tblCellMar>
            <w:top w:w="0" w:type="dxa"/>
            <w:left w:w="0" w:type="dxa"/>
            <w:bottom w:w="0" w:type="dxa"/>
            <w:right w:w="0" w:type="dxa"/>
          </w:tblCellMar>
        </w:tblPrEx>
        <w:tc>
          <w:tcPr>
            <w:tcW w:w="5166"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Derivative Liabilities</w:t>
            </w:r>
          </w:p>
        </w:tc>
        <w:tc>
          <w:tcPr>
            <w:tcW w:w="479"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721" w:type="dxa"/>
            <w:gridSpan w:val="2"/>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479"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5166"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June 30, 2012</w:t>
            </w:r>
          </w:p>
        </w:tc>
        <w:tc>
          <w:tcPr>
            <w:tcW w:w="479"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479"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242"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142,327</w:t>
            </w:r>
          </w:p>
        </w:tc>
        <w:tc>
          <w:tcPr>
            <w:tcW w:w="479"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5166"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A</w:t>
            </w:r>
            <w:r w:rsidRPr="00E13FC6">
              <w:rPr>
                <w:rFonts w:ascii="Times New Roman" w:hAnsi="Times New Roman"/>
                <w:color w:val="000000"/>
                <w:sz w:val="20"/>
                <w:szCs w:val="20"/>
              </w:rPr>
              <w:t>dditions to derivatives</w:t>
            </w:r>
          </w:p>
        </w:tc>
        <w:tc>
          <w:tcPr>
            <w:tcW w:w="479"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479"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4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99,454</w:t>
            </w:r>
          </w:p>
        </w:tc>
        <w:tc>
          <w:tcPr>
            <w:tcW w:w="479"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5166"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Change in fair value</w:t>
            </w:r>
          </w:p>
        </w:tc>
        <w:tc>
          <w:tcPr>
            <w:tcW w:w="479"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479"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42" w:type="dxa"/>
            <w:tcBorders>
              <w:top w:val="nil"/>
              <w:left w:val="nil"/>
              <w:bottom w:val="single" w:sz="8" w:space="0" w:color="000000"/>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153,704</w:t>
            </w:r>
          </w:p>
        </w:tc>
        <w:tc>
          <w:tcPr>
            <w:tcW w:w="479" w:type="dxa"/>
            <w:tcBorders>
              <w:top w:val="nil"/>
              <w:left w:val="nil"/>
              <w:bottom w:val="nil"/>
              <w:right w:val="nil"/>
            </w:tcBorders>
            <w:shd w:val="clear" w:color="auto" w:fill="CCEEFF"/>
            <w:tcMar>
              <w:bottom w:w="30" w:type="dxa"/>
            </w:tcMar>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5166"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March 31, 2013</w:t>
            </w:r>
          </w:p>
        </w:tc>
        <w:tc>
          <w:tcPr>
            <w:tcW w:w="479"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479"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w:t>
            </w:r>
          </w:p>
        </w:tc>
        <w:tc>
          <w:tcPr>
            <w:tcW w:w="1242"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395,485</w:t>
            </w:r>
          </w:p>
        </w:tc>
        <w:tc>
          <w:tcPr>
            <w:tcW w:w="479"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bl>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Discount amortization charged to interest expense during the nine months ended March 31, 2013, totaled $71,406.</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b/>
          <w:bCs/>
          <w:color w:val="000000"/>
          <w:sz w:val="20"/>
          <w:szCs w:val="20"/>
        </w:rPr>
        <w:t>NOTE D </w:t>
      </w:r>
      <w:r w:rsidRPr="00A727E1">
        <w:rPr>
          <w:rFonts w:ascii="Times New Roman" w:hAnsi="Times New Roman"/>
          <w:b/>
          <w:bCs/>
          <w:color w:val="000000"/>
          <w:sz w:val="20"/>
          <w:szCs w:val="20"/>
        </w:rPr>
        <w:t>–</w:t>
      </w:r>
      <w:r w:rsidRPr="00A727E1">
        <w:rPr>
          <w:rFonts w:ascii="Times New Roman" w:hAnsi="Times New Roman"/>
          <w:b/>
          <w:bCs/>
          <w:color w:val="000000"/>
          <w:sz w:val="20"/>
          <w:szCs w:val="20"/>
        </w:rPr>
        <w:t xml:space="preserve"> STOCK-BASED COMPENSATION</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jc w:val="both"/>
        <w:rPr>
          <w:rFonts w:ascii="serif" w:hAnsi="serif" w:cs="serif"/>
          <w:color w:val="000000"/>
          <w:sz w:val="20"/>
          <w:szCs w:val="20"/>
        </w:rPr>
      </w:pPr>
      <w:r w:rsidRPr="00A727E1">
        <w:rPr>
          <w:rFonts w:ascii="Times New Roman" w:hAnsi="Times New Roman"/>
          <w:color w:val="000000"/>
          <w:sz w:val="20"/>
          <w:szCs w:val="20"/>
        </w:rPr>
        <w:t>During the nine months ended March 31, 2013, MI issued 85,820 shares of common stock for settlement of services to outside consultants and certain employees.  We valued these shares at the fair market value on the dates of issuan</w:t>
      </w:r>
      <w:r w:rsidRPr="00A727E1">
        <w:rPr>
          <w:rFonts w:ascii="Times New Roman" w:hAnsi="Times New Roman"/>
          <w:color w:val="000000"/>
          <w:sz w:val="20"/>
          <w:szCs w:val="20"/>
        </w:rPr>
        <w:t>ce of $9,412.</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During the nine months ended March 31, 2013, MI also issued 100,000 common stock purchase options at $0.085 per share.  The options vested immediately and expire on November 29, 2017. </w:t>
      </w:r>
      <w:r w:rsidRPr="00A727E1">
        <w:rPr>
          <w:rFonts w:ascii="Times New Roman" w:hAnsi="Times New Roman"/>
          <w:color w:val="000000"/>
          <w:sz w:val="20"/>
          <w:szCs w:val="20"/>
        </w:rPr>
        <w:t>We valued these options at the fair market value on the date of issuance of $9,844.</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60,000 warrants were issued during the nine months ended March 31, 2013 in conjunction with notes payable. See note C.  A total of 497,760 warrants with a weighted average</w:t>
      </w:r>
      <w:r w:rsidRPr="00A727E1">
        <w:rPr>
          <w:rFonts w:ascii="Times New Roman" w:hAnsi="Times New Roman"/>
          <w:color w:val="000000"/>
          <w:sz w:val="20"/>
          <w:szCs w:val="20"/>
        </w:rPr>
        <w:t xml:space="preserve"> exercise price of $0.13 and a weighted average remaining life of 3.03 years were outstanding and exercisable as of March 31, 2013. Due to there being no explicit limit to the number of shares to be issued upon conversion of the instruments noted above, th</w:t>
      </w:r>
      <w:r w:rsidRPr="00A727E1">
        <w:rPr>
          <w:rFonts w:ascii="Times New Roman" w:hAnsi="Times New Roman"/>
          <w:color w:val="000000"/>
          <w:sz w:val="20"/>
          <w:szCs w:val="20"/>
        </w:rPr>
        <w:t>ese warrants have also been classified as liabilities valued at $16,359  as of March 31, 2013 and recorded against the related notes as debt discounts.</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MI also issued 400,000 common stock purchase options at $0.102 per share in conjunction with debt. See</w:t>
      </w:r>
      <w:r w:rsidRPr="00A727E1">
        <w:rPr>
          <w:rFonts w:ascii="Times New Roman" w:hAnsi="Times New Roman"/>
          <w:color w:val="000000"/>
          <w:sz w:val="20"/>
          <w:szCs w:val="20"/>
        </w:rPr>
        <w:t xml:space="preserve"> note C. The options vested immediately and expire on June 16, 2016. 400,000 options were cancelled during the nine months ended March 31, 2013. Due to there being no explicit limit to the number of shares to be issued upon conversion of the instruments no</w:t>
      </w:r>
      <w:r w:rsidRPr="00A727E1">
        <w:rPr>
          <w:rFonts w:ascii="Times New Roman" w:hAnsi="Times New Roman"/>
          <w:color w:val="000000"/>
          <w:sz w:val="20"/>
          <w:szCs w:val="20"/>
        </w:rPr>
        <w:t>ted above, these options have also been classified as liabilities valued at $108,589 as of March 31, 2013 and recorded against the related notes as debt discounts. A total of 32,997,740 options with a weighted average exercise price of $0.13 and a weighted</w:t>
      </w:r>
      <w:r w:rsidRPr="00A727E1">
        <w:rPr>
          <w:rFonts w:ascii="Times New Roman" w:hAnsi="Times New Roman"/>
          <w:color w:val="000000"/>
          <w:sz w:val="20"/>
          <w:szCs w:val="20"/>
        </w:rPr>
        <w:t xml:space="preserve"> average remaining life of 2.73 years were outstanding and exercisable as of March 31, 2013.  </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b/>
          <w:bCs/>
          <w:color w:val="000000"/>
          <w:sz w:val="20"/>
          <w:szCs w:val="20"/>
        </w:rPr>
        <w:t xml:space="preserve">NOTE E </w:t>
      </w:r>
      <w:r w:rsidRPr="00A727E1">
        <w:rPr>
          <w:rFonts w:ascii="Times New Roman" w:hAnsi="Times New Roman"/>
          <w:b/>
          <w:bCs/>
          <w:color w:val="000000"/>
          <w:sz w:val="20"/>
          <w:szCs w:val="20"/>
        </w:rPr>
        <w:t>–</w:t>
      </w:r>
      <w:r w:rsidRPr="00A727E1">
        <w:rPr>
          <w:rFonts w:ascii="Times New Roman" w:hAnsi="Times New Roman"/>
          <w:b/>
          <w:bCs/>
          <w:color w:val="000000"/>
          <w:sz w:val="20"/>
          <w:szCs w:val="20"/>
        </w:rPr>
        <w:t xml:space="preserve"> FAIR VALUE MEASUREMENTS</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The Company measures fair value in accordance with a fair value hierarchy that prioritizes the inputs to valuation techniques</w:t>
      </w:r>
      <w:r w:rsidRPr="00A727E1">
        <w:rPr>
          <w:rFonts w:ascii="Times New Roman" w:hAnsi="Times New Roman"/>
          <w:color w:val="000000"/>
          <w:sz w:val="20"/>
          <w:szCs w:val="20"/>
        </w:rPr>
        <w:t xml:space="preserve"> used to measure fair value. The hierarchy gives the highest priority to unadjusted quoted prices in active markets for identical assets or liabilities (Level 1 measurements) and the lowest priority to unobservable inputs (Level 3 measurements). The three </w:t>
      </w:r>
      <w:r w:rsidRPr="00A727E1">
        <w:rPr>
          <w:rFonts w:ascii="Times New Roman" w:hAnsi="Times New Roman"/>
          <w:color w:val="000000"/>
          <w:sz w:val="20"/>
          <w:szCs w:val="20"/>
        </w:rPr>
        <w:t>levels of the fair value hierarchy are described below:</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313"/>
        <w:gridCol w:w="732"/>
        <w:gridCol w:w="9421"/>
      </w:tblGrid>
      <w:tr w:rsidR="00000000" w:rsidRPr="00E13FC6">
        <w:tblPrEx>
          <w:tblCellMar>
            <w:top w:w="0" w:type="dxa"/>
            <w:left w:w="0" w:type="dxa"/>
            <w:bottom w:w="0" w:type="dxa"/>
            <w:right w:w="0" w:type="dxa"/>
          </w:tblCellMar>
        </w:tblPrEx>
        <w:tc>
          <w:tcPr>
            <w:tcW w:w="313"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732"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Level 1</w:t>
            </w:r>
          </w:p>
        </w:tc>
        <w:tc>
          <w:tcPr>
            <w:tcW w:w="9421"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Unadjusted quoted prices in active markets that are accessible at the measurement date for identical, unrestricted assets or liabilities;</w:t>
            </w:r>
          </w:p>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r>
      <w:tr w:rsidR="00000000" w:rsidRPr="00E13FC6">
        <w:tblPrEx>
          <w:tblCellMar>
            <w:top w:w="0" w:type="dxa"/>
            <w:left w:w="0" w:type="dxa"/>
            <w:bottom w:w="0" w:type="dxa"/>
            <w:right w:w="0" w:type="dxa"/>
          </w:tblCellMar>
        </w:tblPrEx>
        <w:tc>
          <w:tcPr>
            <w:tcW w:w="313"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732"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Level 2</w:t>
            </w:r>
          </w:p>
        </w:tc>
        <w:tc>
          <w:tcPr>
            <w:tcW w:w="9421"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Quoted prices in markets that are n</w:t>
            </w:r>
            <w:r w:rsidRPr="00E13FC6">
              <w:rPr>
                <w:rFonts w:ascii="Times New Roman" w:hAnsi="Times New Roman"/>
                <w:color w:val="000000"/>
                <w:sz w:val="20"/>
                <w:szCs w:val="20"/>
              </w:rPr>
              <w:t>ot active, or inputs that are observable, either directly or indirectly, for substantially the full term of the asset or liability; and</w:t>
            </w:r>
          </w:p>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r>
      <w:tr w:rsidR="00000000" w:rsidRPr="00E13FC6">
        <w:tblPrEx>
          <w:tblCellMar>
            <w:top w:w="0" w:type="dxa"/>
            <w:left w:w="0" w:type="dxa"/>
            <w:bottom w:w="0" w:type="dxa"/>
            <w:right w:w="0" w:type="dxa"/>
          </w:tblCellMar>
        </w:tblPrEx>
        <w:tc>
          <w:tcPr>
            <w:tcW w:w="313"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732"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Level 3</w:t>
            </w:r>
          </w:p>
        </w:tc>
        <w:tc>
          <w:tcPr>
            <w:tcW w:w="9421"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Prices or valuation techniques that require inputs that are both significant to the fair value measurement and unobservable (supported by little or no market activity).</w:t>
            </w:r>
          </w:p>
        </w:tc>
      </w:tr>
    </w:tbl>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The following table sets forth the Company's consolidated financial assets and liabi</w:t>
      </w:r>
      <w:r w:rsidRPr="00A727E1">
        <w:rPr>
          <w:rFonts w:ascii="Times New Roman" w:hAnsi="Times New Roman"/>
          <w:color w:val="000000"/>
          <w:sz w:val="20"/>
          <w:szCs w:val="20"/>
        </w:rPr>
        <w:t>lities measured at fair value by level within the fair value hierarchy as of March 31, 2013 and June 30, 2012. Assets and liabilities are classified in their entirety based on the lowest level of input that is significant to the fair value measurement.</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tbl>
      <w:tblPr>
        <w:tblW w:w="0" w:type="auto"/>
        <w:tblInd w:w="4" w:type="dxa"/>
        <w:tblLayout w:type="fixed"/>
        <w:tblCellMar>
          <w:left w:w="0" w:type="dxa"/>
          <w:right w:w="0" w:type="dxa"/>
        </w:tblCellMar>
        <w:tblLook w:val="0000" w:firstRow="0" w:lastRow="0" w:firstColumn="0" w:lastColumn="0" w:noHBand="0" w:noVBand="0"/>
      </w:tblPr>
      <w:tblGrid>
        <w:gridCol w:w="4605"/>
        <w:gridCol w:w="104"/>
        <w:gridCol w:w="104"/>
        <w:gridCol w:w="1151"/>
        <w:gridCol w:w="104"/>
        <w:gridCol w:w="104"/>
        <w:gridCol w:w="104"/>
        <w:gridCol w:w="1151"/>
        <w:gridCol w:w="104"/>
        <w:gridCol w:w="104"/>
        <w:gridCol w:w="104"/>
        <w:gridCol w:w="1151"/>
        <w:gridCol w:w="104"/>
        <w:gridCol w:w="104"/>
        <w:gridCol w:w="104"/>
        <w:gridCol w:w="1151"/>
        <w:gridCol w:w="104"/>
      </w:tblGrid>
      <w:tr w:rsidR="00000000" w:rsidRPr="00E13FC6">
        <w:tblPrEx>
          <w:tblCellMar>
            <w:top w:w="0" w:type="dxa"/>
            <w:left w:w="0" w:type="dxa"/>
            <w:bottom w:w="0" w:type="dxa"/>
            <w:right w:w="0" w:type="dxa"/>
          </w:tblCellMar>
        </w:tblPrEx>
        <w:tc>
          <w:tcPr>
            <w:tcW w:w="4605"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r w:rsidRPr="00E13FC6">
              <w:rPr>
                <w:rFonts w:ascii="Times New Roman" w:hAnsi="Times New Roman"/>
                <w:color w:val="000000"/>
                <w:sz w:val="20"/>
                <w:szCs w:val="20"/>
              </w:rPr>
              <w:t xml:space="preserve"> </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b/>
                <w:bCs/>
                <w:color w:val="000000"/>
                <w:sz w:val="20"/>
                <w:szCs w:val="20"/>
              </w:rPr>
              <w:t>Total</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b/>
                <w:bCs/>
                <w:color w:val="000000"/>
                <w:sz w:val="20"/>
                <w:szCs w:val="20"/>
              </w:rPr>
              <w:t>Level 1</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b/>
                <w:bCs/>
                <w:color w:val="000000"/>
                <w:sz w:val="20"/>
                <w:szCs w:val="20"/>
              </w:rPr>
              <w:t>Level 2</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000000" w:rsidRPr="00E13FC6" w:rsidRDefault="00E13FC6">
            <w:pPr>
              <w:widowControl w:val="0"/>
              <w:autoSpaceDE w:val="0"/>
              <w:autoSpaceDN w:val="0"/>
              <w:adjustRightInd w:val="0"/>
              <w:spacing w:after="0" w:line="240" w:lineRule="auto"/>
              <w:jc w:val="center"/>
              <w:rPr>
                <w:rFonts w:ascii="Times New Roman" w:hAnsi="Times New Roman"/>
                <w:color w:val="000000"/>
                <w:sz w:val="20"/>
                <w:szCs w:val="20"/>
              </w:rPr>
            </w:pPr>
            <w:r w:rsidRPr="00E13FC6">
              <w:rPr>
                <w:rFonts w:ascii="Times New Roman" w:hAnsi="Times New Roman"/>
                <w:b/>
                <w:bCs/>
                <w:color w:val="000000"/>
                <w:sz w:val="20"/>
                <w:szCs w:val="20"/>
              </w:rPr>
              <w:t>Level 3</w:t>
            </w:r>
          </w:p>
        </w:tc>
        <w:tc>
          <w:tcPr>
            <w:tcW w:w="104" w:type="dxa"/>
            <w:tcBorders>
              <w:top w:val="nil"/>
              <w:left w:val="nil"/>
              <w:bottom w:val="nil"/>
              <w:right w:val="nil"/>
            </w:tcBorders>
            <w:tcMar>
              <w:bottom w:w="30" w:type="dxa"/>
            </w:tcMar>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LIABILITIES:</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5" w:type="dxa"/>
            <w:gridSpan w:val="2"/>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5" w:type="dxa"/>
            <w:gridSpan w:val="2"/>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5" w:type="dxa"/>
            <w:gridSpan w:val="2"/>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5" w:type="dxa"/>
            <w:gridSpan w:val="2"/>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5" w:type="dxa"/>
            <w:gridSpan w:val="2"/>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5" w:type="dxa"/>
            <w:gridSpan w:val="2"/>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5" w:type="dxa"/>
            <w:gridSpan w:val="2"/>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255" w:type="dxa"/>
            <w:gridSpan w:val="2"/>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w:t>
            </w:r>
          </w:p>
        </w:tc>
        <w:tc>
          <w:tcPr>
            <w:tcW w:w="104"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Derivative liabilities-  3/31/2013</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395,485</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395,485</w:t>
            </w:r>
          </w:p>
        </w:tc>
        <w:tc>
          <w:tcPr>
            <w:tcW w:w="104" w:type="dxa"/>
            <w:tcBorders>
              <w:top w:val="nil"/>
              <w:left w:val="nil"/>
              <w:bottom w:val="nil"/>
              <w:right w:val="nil"/>
            </w:tcBorders>
            <w:shd w:val="clear" w:color="auto" w:fill="CCEEFF"/>
            <w:vAlign w:val="bottom"/>
          </w:tcPr>
          <w:p w:rsidR="00000000" w:rsidRPr="00E13FC6" w:rsidRDefault="00E13FC6">
            <w:pPr>
              <w:widowControl w:val="0"/>
              <w:shd w:val="clear" w:color="auto" w:fill="CCEE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605"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D</w:t>
            </w:r>
            <w:r w:rsidRPr="00E13FC6">
              <w:rPr>
                <w:rFonts w:ascii="Times New Roman" w:hAnsi="Times New Roman"/>
                <w:color w:val="000000"/>
                <w:sz w:val="20"/>
                <w:szCs w:val="20"/>
              </w:rPr>
              <w:t xml:space="preserve">erivative liabilities </w:t>
            </w:r>
            <w:r w:rsidRPr="00E13FC6">
              <w:rPr>
                <w:rFonts w:ascii="Times New Roman" w:hAnsi="Times New Roman"/>
                <w:color w:val="000000"/>
                <w:sz w:val="20"/>
                <w:szCs w:val="20"/>
              </w:rPr>
              <w:t>–</w:t>
            </w:r>
            <w:r w:rsidRPr="00E13FC6">
              <w:rPr>
                <w:rFonts w:ascii="Times New Roman" w:hAnsi="Times New Roman"/>
                <w:color w:val="000000"/>
                <w:sz w:val="20"/>
                <w:szCs w:val="20"/>
              </w:rPr>
              <w:t xml:space="preserve"> 6/30/2012</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142,327</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jc w:val="right"/>
              <w:rPr>
                <w:rFonts w:ascii="Times New Roman" w:hAnsi="Times New Roman"/>
                <w:color w:val="000000"/>
                <w:sz w:val="20"/>
                <w:szCs w:val="20"/>
              </w:rPr>
            </w:pPr>
            <w:r w:rsidRPr="00E13FC6">
              <w:rPr>
                <w:rFonts w:ascii="Times New Roman" w:hAnsi="Times New Roman"/>
                <w:color w:val="000000"/>
                <w:sz w:val="20"/>
                <w:szCs w:val="20"/>
              </w:rPr>
              <w:t>142,327</w:t>
            </w:r>
          </w:p>
        </w:tc>
        <w:tc>
          <w:tcPr>
            <w:tcW w:w="104" w:type="dxa"/>
            <w:tcBorders>
              <w:top w:val="nil"/>
              <w:left w:val="nil"/>
              <w:bottom w:val="nil"/>
              <w:right w:val="nil"/>
            </w:tcBorders>
            <w:shd w:val="clear" w:color="auto" w:fill="FFFFFF"/>
            <w:vAlign w:val="bottom"/>
          </w:tcPr>
          <w:p w:rsidR="00000000" w:rsidRPr="00E13FC6" w:rsidRDefault="00E13FC6">
            <w:pPr>
              <w:widowControl w:val="0"/>
              <w:shd w:val="clear" w:color="auto" w:fill="FFFFFF"/>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bl>
    <w:p w:rsidR="00000000" w:rsidRPr="00A727E1" w:rsidRDefault="00E13FC6">
      <w:pPr>
        <w:widowControl w:val="0"/>
        <w:autoSpaceDE w:val="0"/>
        <w:autoSpaceDN w:val="0"/>
        <w:adjustRightInd w:val="0"/>
        <w:spacing w:after="0" w:line="240" w:lineRule="auto"/>
        <w:rPr>
          <w:rFonts w:ascii="serif" w:hAnsi="serif" w:cs="serif"/>
          <w:color w:val="000000"/>
          <w:sz w:val="20"/>
          <w:szCs w:val="20"/>
        </w:rPr>
        <w:sectPr w:rsidR="00000000" w:rsidRPr="00A727E1">
          <w:headerReference w:type="default" r:id="rId22"/>
          <w:footerReference w:type="default" r:id="rId23"/>
          <w:pgSz w:w="11906" w:h="16838"/>
          <w:pgMar w:top="720" w:right="720" w:bottom="720" w:left="720" w:header="720" w:footer="720" w:gutter="0"/>
          <w:cols w:space="720"/>
          <w:noEndnote/>
        </w:sectPr>
      </w:pP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jc w:val="both"/>
        <w:rPr>
          <w:rFonts w:ascii="serif" w:hAnsi="serif" w:cs="serif"/>
          <w:color w:val="000000"/>
          <w:sz w:val="20"/>
          <w:szCs w:val="20"/>
        </w:rPr>
      </w:pPr>
      <w:r w:rsidRPr="00A727E1">
        <w:rPr>
          <w:rFonts w:ascii="Times New Roman" w:hAnsi="Times New Roman"/>
          <w:b/>
          <w:bCs/>
          <w:color w:val="000000"/>
          <w:sz w:val="20"/>
          <w:szCs w:val="20"/>
        </w:rPr>
        <w:t>ITEM 2</w:t>
      </w:r>
      <w:r w:rsidRPr="00A727E1">
        <w:rPr>
          <w:rFonts w:ascii="Times New Roman" w:hAnsi="Times New Roman"/>
          <w:b/>
          <w:bCs/>
          <w:color w:val="000000"/>
          <w:sz w:val="20"/>
          <w:szCs w:val="20"/>
        </w:rPr>
        <w:t> </w:t>
      </w:r>
      <w:r w:rsidRPr="00A727E1">
        <w:rPr>
          <w:rFonts w:ascii="Times New Roman" w:hAnsi="Times New Roman"/>
          <w:b/>
          <w:bCs/>
          <w:color w:val="000000"/>
          <w:sz w:val="20"/>
          <w:szCs w:val="20"/>
        </w:rPr>
        <w:t>–</w:t>
      </w:r>
      <w:r w:rsidRPr="00A727E1">
        <w:rPr>
          <w:rFonts w:ascii="Times New Roman" w:hAnsi="Times New Roman"/>
          <w:b/>
          <w:bCs/>
          <w:color w:val="000000"/>
          <w:sz w:val="20"/>
          <w:szCs w:val="20"/>
        </w:rPr>
        <w:t xml:space="preserve"> MANAGEMENT</w:t>
      </w:r>
      <w:r w:rsidRPr="00A727E1">
        <w:rPr>
          <w:rFonts w:ascii="Times New Roman" w:hAnsi="Times New Roman"/>
          <w:b/>
          <w:bCs/>
          <w:color w:val="000000"/>
          <w:sz w:val="20"/>
          <w:szCs w:val="20"/>
        </w:rPr>
        <w:t>’</w:t>
      </w:r>
      <w:r w:rsidRPr="00A727E1">
        <w:rPr>
          <w:rFonts w:ascii="Times New Roman" w:hAnsi="Times New Roman"/>
          <w:b/>
          <w:bCs/>
          <w:color w:val="000000"/>
          <w:sz w:val="20"/>
          <w:szCs w:val="20"/>
        </w:rPr>
        <w:t>S DISCUSSION AND ANALYSIS OF FINANCIAL CONDITION AND RESULTS OF OPERATIONS</w:t>
      </w:r>
    </w:p>
    <w:p w:rsidR="00000000" w:rsidRPr="00A727E1" w:rsidRDefault="00E13FC6">
      <w:pPr>
        <w:widowControl w:val="0"/>
        <w:autoSpaceDE w:val="0"/>
        <w:autoSpaceDN w:val="0"/>
        <w:adjustRightInd w:val="0"/>
        <w:spacing w:after="0" w:line="240" w:lineRule="auto"/>
        <w:jc w:val="both"/>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jc w:val="both"/>
        <w:rPr>
          <w:rFonts w:ascii="serif" w:hAnsi="serif" w:cs="serif"/>
          <w:color w:val="000000"/>
          <w:sz w:val="20"/>
          <w:szCs w:val="20"/>
        </w:rPr>
      </w:pPr>
      <w:r w:rsidRPr="00A727E1">
        <w:rPr>
          <w:rFonts w:ascii="Times New Roman" w:hAnsi="Times New Roman"/>
          <w:color w:val="000000"/>
          <w:sz w:val="20"/>
          <w:szCs w:val="20"/>
        </w:rPr>
        <w:t>Results of Operations</w:t>
      </w:r>
    </w:p>
    <w:p w:rsidR="00000000" w:rsidRPr="00A727E1" w:rsidRDefault="00E13FC6">
      <w:pPr>
        <w:widowControl w:val="0"/>
        <w:autoSpaceDE w:val="0"/>
        <w:autoSpaceDN w:val="0"/>
        <w:adjustRightInd w:val="0"/>
        <w:spacing w:after="0" w:line="240" w:lineRule="auto"/>
        <w:jc w:val="both"/>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Three months Ended March 31, 2013 and March 31, 2012:</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xml:space="preserve">For the three-months ended March 31, 2013, we had a net loss of $476,169 or $0.01 loss </w:t>
      </w:r>
      <w:r w:rsidRPr="00A727E1">
        <w:rPr>
          <w:rFonts w:ascii="Times New Roman" w:hAnsi="Times New Roman"/>
          <w:color w:val="000000"/>
          <w:sz w:val="20"/>
          <w:szCs w:val="20"/>
        </w:rPr>
        <w:t xml:space="preserve">per share as compared to a net loss of $445,121 or $0.01 loss per share for the same period of 2012.   We continue to pursue the development activities on the </w:t>
      </w:r>
      <w:proofErr w:type="spellStart"/>
      <w:r w:rsidRPr="00A727E1">
        <w:rPr>
          <w:rFonts w:ascii="Times New Roman" w:hAnsi="Times New Roman"/>
          <w:color w:val="000000"/>
          <w:sz w:val="20"/>
          <w:szCs w:val="20"/>
        </w:rPr>
        <w:t>Skycar</w:t>
      </w:r>
      <w:proofErr w:type="spellEnd"/>
      <w:r w:rsidRPr="00A727E1">
        <w:rPr>
          <w:rFonts w:ascii="Times New Roman" w:hAnsi="Times New Roman"/>
          <w:color w:val="000000"/>
          <w:sz w:val="20"/>
          <w:szCs w:val="20"/>
        </w:rPr>
        <w:t xml:space="preserve">, </w:t>
      </w:r>
      <w:proofErr w:type="spellStart"/>
      <w:r w:rsidRPr="00A727E1">
        <w:rPr>
          <w:rFonts w:ascii="Times New Roman" w:hAnsi="Times New Roman"/>
          <w:color w:val="000000"/>
          <w:sz w:val="20"/>
          <w:szCs w:val="20"/>
        </w:rPr>
        <w:t>Rotapower</w:t>
      </w:r>
      <w:proofErr w:type="spellEnd"/>
      <w:r w:rsidRPr="00A727E1">
        <w:rPr>
          <w:rFonts w:ascii="Times New Roman" w:hAnsi="Times New Roman"/>
          <w:color w:val="000000"/>
          <w:sz w:val="20"/>
          <w:szCs w:val="20"/>
        </w:rPr>
        <w:t xml:space="preserve"> engine project, primarily in the areas of its flight control system (FCS) and t</w:t>
      </w:r>
      <w:r w:rsidRPr="00A727E1">
        <w:rPr>
          <w:rFonts w:ascii="Times New Roman" w:hAnsi="Times New Roman"/>
          <w:color w:val="000000"/>
          <w:sz w:val="20"/>
          <w:szCs w:val="20"/>
        </w:rPr>
        <w:t xml:space="preserve">he performance advantages of introducing a hybrid approach to generating the high power required to take off and land. Although there is no assurance that this vehicle will meet with success in the market place, the Company is actively seeking support for </w:t>
      </w:r>
      <w:r w:rsidRPr="00A727E1">
        <w:rPr>
          <w:rFonts w:ascii="Times New Roman" w:hAnsi="Times New Roman"/>
          <w:color w:val="000000"/>
          <w:sz w:val="20"/>
          <w:szCs w:val="20"/>
        </w:rPr>
        <w:t>the program and, if found, may choose to move into the production of these vehicles.</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xml:space="preserve"> Nine months Ended March 31, 2013 and March 31, 2012:</w:t>
      </w:r>
    </w:p>
    <w:p w:rsidR="00000000" w:rsidRPr="00A727E1" w:rsidRDefault="00E13FC6">
      <w:pPr>
        <w:widowControl w:val="0"/>
        <w:autoSpaceDE w:val="0"/>
        <w:autoSpaceDN w:val="0"/>
        <w:adjustRightInd w:val="0"/>
        <w:spacing w:after="0" w:line="240" w:lineRule="auto"/>
        <w:jc w:val="both"/>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xml:space="preserve">For the nine-months ended March 31, 2013, we had a net loss of $1,248,186 or $0.03 loss per share as compared to a </w:t>
      </w:r>
      <w:r w:rsidRPr="00A727E1">
        <w:rPr>
          <w:rFonts w:ascii="Times New Roman" w:hAnsi="Times New Roman"/>
          <w:color w:val="000000"/>
          <w:sz w:val="20"/>
          <w:szCs w:val="20"/>
        </w:rPr>
        <w:t>net loss of $1,142,366 or $0.02 loss per share for the same period of 2012.  The increased loss relates, primarily to interest expense on the companies promissory notes, and other interest bearing agreements.  Also, we incurred a derivative loss associated</w:t>
      </w:r>
      <w:r w:rsidRPr="00A727E1">
        <w:rPr>
          <w:rFonts w:ascii="Times New Roman" w:hAnsi="Times New Roman"/>
          <w:color w:val="000000"/>
          <w:sz w:val="20"/>
          <w:szCs w:val="20"/>
        </w:rPr>
        <w:t xml:space="preserve"> with our convertible notes payables (see Note C to the Consolidated Financial Statements).  We continue to pursue the development activities on the </w:t>
      </w:r>
      <w:proofErr w:type="spellStart"/>
      <w:r w:rsidRPr="00A727E1">
        <w:rPr>
          <w:rFonts w:ascii="Times New Roman" w:hAnsi="Times New Roman"/>
          <w:color w:val="000000"/>
          <w:sz w:val="20"/>
          <w:szCs w:val="20"/>
        </w:rPr>
        <w:t>Skycar</w:t>
      </w:r>
      <w:proofErr w:type="spellEnd"/>
      <w:r w:rsidRPr="00A727E1">
        <w:rPr>
          <w:rFonts w:ascii="Times New Roman" w:hAnsi="Times New Roman"/>
          <w:color w:val="000000"/>
          <w:sz w:val="20"/>
          <w:szCs w:val="20"/>
        </w:rPr>
        <w:t xml:space="preserve">, </w:t>
      </w:r>
      <w:proofErr w:type="spellStart"/>
      <w:r w:rsidRPr="00A727E1">
        <w:rPr>
          <w:rFonts w:ascii="Times New Roman" w:hAnsi="Times New Roman"/>
          <w:color w:val="000000"/>
          <w:sz w:val="20"/>
          <w:szCs w:val="20"/>
        </w:rPr>
        <w:t>Rotapower</w:t>
      </w:r>
      <w:proofErr w:type="spellEnd"/>
      <w:r w:rsidRPr="00A727E1">
        <w:rPr>
          <w:rFonts w:ascii="Times New Roman" w:hAnsi="Times New Roman"/>
          <w:color w:val="000000"/>
          <w:sz w:val="20"/>
          <w:szCs w:val="20"/>
        </w:rPr>
        <w:t xml:space="preserve"> engine project, primarily in the areas of its flight control system (FCS) and the perform</w:t>
      </w:r>
      <w:r w:rsidRPr="00A727E1">
        <w:rPr>
          <w:rFonts w:ascii="Times New Roman" w:hAnsi="Times New Roman"/>
          <w:color w:val="000000"/>
          <w:sz w:val="20"/>
          <w:szCs w:val="20"/>
        </w:rPr>
        <w:t>ance advantages of introducing a hybrid approach to generating the high power required to take off and land. Although there is no assurance that this vehicle will meet with success in the market place, the Company is actively seeking support for the progra</w:t>
      </w:r>
      <w:r w:rsidRPr="00A727E1">
        <w:rPr>
          <w:rFonts w:ascii="Times New Roman" w:hAnsi="Times New Roman"/>
          <w:color w:val="000000"/>
          <w:sz w:val="20"/>
          <w:szCs w:val="20"/>
        </w:rPr>
        <w:t>m and, if found, may choose to move into the production of these vehicles.</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Going Concern and Liquidity</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xml:space="preserve"> As of March 31, 2013, MI had an accumulated deficit of $51,853,987</w:t>
      </w:r>
      <w:proofErr w:type="gramStart"/>
      <w:r w:rsidRPr="00A727E1">
        <w:rPr>
          <w:rFonts w:ascii="Times New Roman" w:hAnsi="Times New Roman"/>
          <w:color w:val="000000"/>
          <w:sz w:val="20"/>
          <w:szCs w:val="20"/>
        </w:rPr>
        <w:t>  and</w:t>
      </w:r>
      <w:proofErr w:type="gramEnd"/>
      <w:r w:rsidRPr="00A727E1">
        <w:rPr>
          <w:rFonts w:ascii="Times New Roman" w:hAnsi="Times New Roman"/>
          <w:color w:val="000000"/>
          <w:sz w:val="20"/>
          <w:szCs w:val="20"/>
        </w:rPr>
        <w:t xml:space="preserve"> a working capital deficit of $12,826,897.  In addition, MI is currently in the</w:t>
      </w:r>
      <w:r w:rsidRPr="00A727E1">
        <w:rPr>
          <w:rFonts w:ascii="Times New Roman" w:hAnsi="Times New Roman"/>
          <w:color w:val="000000"/>
          <w:sz w:val="20"/>
          <w:szCs w:val="20"/>
        </w:rPr>
        <w:t xml:space="preserve"> development stage of the </w:t>
      </w:r>
      <w:proofErr w:type="spellStart"/>
      <w:r w:rsidRPr="00A727E1">
        <w:rPr>
          <w:rFonts w:ascii="Times New Roman" w:hAnsi="Times New Roman"/>
          <w:color w:val="000000"/>
          <w:sz w:val="20"/>
          <w:szCs w:val="20"/>
        </w:rPr>
        <w:t>Skycar</w:t>
      </w:r>
      <w:proofErr w:type="spellEnd"/>
      <w:r w:rsidRPr="00A727E1">
        <w:rPr>
          <w:rFonts w:ascii="Times New Roman" w:hAnsi="Times New Roman"/>
          <w:color w:val="000000"/>
          <w:sz w:val="20"/>
          <w:szCs w:val="20"/>
        </w:rPr>
        <w:t xml:space="preserve"> and </w:t>
      </w:r>
      <w:proofErr w:type="spellStart"/>
      <w:r w:rsidRPr="00A727E1">
        <w:rPr>
          <w:rFonts w:ascii="Times New Roman" w:hAnsi="Times New Roman"/>
          <w:color w:val="000000"/>
          <w:sz w:val="20"/>
          <w:szCs w:val="20"/>
        </w:rPr>
        <w:t>Rotapower</w:t>
      </w:r>
      <w:proofErr w:type="spellEnd"/>
      <w:r w:rsidRPr="00A727E1">
        <w:rPr>
          <w:rFonts w:ascii="Times New Roman" w:hAnsi="Times New Roman"/>
          <w:color w:val="000000"/>
          <w:sz w:val="20"/>
          <w:szCs w:val="20"/>
        </w:rPr>
        <w:t xml:space="preserve"> engine programs, and has no revenue producing products.  Successful completion of product development activities for either or both of these programs will require significant additional sources of capital. The</w:t>
      </w:r>
      <w:r w:rsidRPr="00A727E1">
        <w:rPr>
          <w:rFonts w:ascii="Times New Roman" w:hAnsi="Times New Roman"/>
          <w:color w:val="000000"/>
          <w:sz w:val="20"/>
          <w:szCs w:val="20"/>
        </w:rPr>
        <w:t>se conditions raise substantial doubt as to our ability to continue as a going concern. Historically, funding was provided by certain shareholders, including the majority shareholder, in the form of short-term notes payable. In addition, the majority share</w:t>
      </w:r>
      <w:r w:rsidRPr="00A727E1">
        <w:rPr>
          <w:rFonts w:ascii="Times New Roman" w:hAnsi="Times New Roman"/>
          <w:color w:val="000000"/>
          <w:sz w:val="20"/>
          <w:szCs w:val="20"/>
        </w:rPr>
        <w:t>holder granted us a deferral on the payment of rent for our building. There is no assurance that we will continue to receive funding from shareholders, particularly our major shareholder given he has filed for protection under the federal Chapter 11 reorga</w:t>
      </w:r>
      <w:r w:rsidRPr="00A727E1">
        <w:rPr>
          <w:rFonts w:ascii="Times New Roman" w:hAnsi="Times New Roman"/>
          <w:color w:val="000000"/>
          <w:sz w:val="20"/>
          <w:szCs w:val="20"/>
        </w:rPr>
        <w:t>nization provisions of the federal bankruptcy law. Consequently, we are evaluating several alternatives to raise the additional capital through debt or equity transactions.  There is no assurance that our efforts will be successful, however, and the financ</w:t>
      </w:r>
      <w:r w:rsidRPr="00A727E1">
        <w:rPr>
          <w:rFonts w:ascii="Times New Roman" w:hAnsi="Times New Roman"/>
          <w:color w:val="000000"/>
          <w:sz w:val="20"/>
          <w:szCs w:val="20"/>
        </w:rPr>
        <w:t>ial statements do not include any adjustments that might be necessary if we are unable to continue as a going concern.</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b/>
          <w:bCs/>
          <w:color w:val="000000"/>
          <w:sz w:val="20"/>
          <w:szCs w:val="20"/>
        </w:rPr>
        <w:t>ITEM 3 </w:t>
      </w:r>
      <w:r w:rsidRPr="00A727E1">
        <w:rPr>
          <w:rFonts w:ascii="Times New Roman" w:hAnsi="Times New Roman"/>
          <w:b/>
          <w:bCs/>
          <w:color w:val="000000"/>
          <w:sz w:val="20"/>
          <w:szCs w:val="20"/>
        </w:rPr>
        <w:t>–</w:t>
      </w:r>
      <w:r w:rsidRPr="00A727E1">
        <w:rPr>
          <w:rFonts w:ascii="Times New Roman" w:hAnsi="Times New Roman"/>
          <w:b/>
          <w:bCs/>
          <w:color w:val="000000"/>
          <w:sz w:val="20"/>
          <w:szCs w:val="20"/>
        </w:rPr>
        <w:t xml:space="preserve"> QUALITATIVE AND QUANTITATIVE CONCERNS ABOUT MARKET RISK</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As a smaller reporting company we are not required to report items un</w:t>
      </w:r>
      <w:r w:rsidRPr="00A727E1">
        <w:rPr>
          <w:rFonts w:ascii="Times New Roman" w:hAnsi="Times New Roman"/>
          <w:color w:val="000000"/>
          <w:sz w:val="20"/>
          <w:szCs w:val="20"/>
        </w:rPr>
        <w:t>der this section.</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b/>
          <w:bCs/>
          <w:color w:val="000000"/>
          <w:sz w:val="20"/>
          <w:szCs w:val="20"/>
        </w:rPr>
        <w:t xml:space="preserve">ITEM 4 </w:t>
      </w:r>
      <w:r w:rsidRPr="00A727E1">
        <w:rPr>
          <w:rFonts w:ascii="Times New Roman" w:hAnsi="Times New Roman"/>
          <w:b/>
          <w:bCs/>
          <w:color w:val="000000"/>
          <w:sz w:val="20"/>
          <w:szCs w:val="20"/>
        </w:rPr>
        <w:t>–</w:t>
      </w:r>
      <w:r w:rsidRPr="00A727E1">
        <w:rPr>
          <w:rFonts w:ascii="Times New Roman" w:hAnsi="Times New Roman"/>
          <w:color w:val="000000"/>
          <w:sz w:val="20"/>
          <w:szCs w:val="20"/>
        </w:rPr>
        <w:t xml:space="preserve"> </w:t>
      </w:r>
      <w:r w:rsidRPr="00A727E1">
        <w:rPr>
          <w:rFonts w:ascii="Times New Roman" w:hAnsi="Times New Roman"/>
          <w:b/>
          <w:bCs/>
          <w:color w:val="000000"/>
          <w:sz w:val="20"/>
          <w:szCs w:val="20"/>
        </w:rPr>
        <w:t>CONTROLS AND PROCEDURES</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Evaluation of Disclosure Controls and Procedures</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xml:space="preserve">Our President, Paul Moller, acts as the "Certifying Officer" for the Company and is responsible for establishing and maintaining disclosure controls and procedures. The Certifying Officer has designed such disclosure controls and procedures to ensure that </w:t>
      </w:r>
      <w:r w:rsidRPr="00A727E1">
        <w:rPr>
          <w:rFonts w:ascii="Times New Roman" w:hAnsi="Times New Roman"/>
          <w:color w:val="000000"/>
          <w:sz w:val="20"/>
          <w:szCs w:val="20"/>
        </w:rPr>
        <w:t>material information is made known to him, particularly during the period in which this report was prepared. The Certifying Officer has evaluated the effectiveness of our disclosure controls and procedures as of the date of this report and believes that th</w:t>
      </w:r>
      <w:r w:rsidRPr="00A727E1">
        <w:rPr>
          <w:rFonts w:ascii="Times New Roman" w:hAnsi="Times New Roman"/>
          <w:color w:val="000000"/>
          <w:sz w:val="20"/>
          <w:szCs w:val="20"/>
        </w:rPr>
        <w:t xml:space="preserve">e disclosure controls and procedures are not effective based on the required evaluation. We believe this is due to the limited resources devoted to accounting and financial reporting during this reporting period and the Company will continue to remedy the </w:t>
      </w:r>
      <w:r w:rsidRPr="00A727E1">
        <w:rPr>
          <w:rFonts w:ascii="Times New Roman" w:hAnsi="Times New Roman"/>
          <w:color w:val="000000"/>
          <w:sz w:val="20"/>
          <w:szCs w:val="20"/>
        </w:rPr>
        <w:t>shortfall by hiring additional personnel to address its accounting and financial reporting functions as soon as possible and when funding becomes available.</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xml:space="preserve">Changes in Internal Controls </w:t>
      </w:r>
      <w:proofErr w:type="gramStart"/>
      <w:r w:rsidRPr="00A727E1">
        <w:rPr>
          <w:rFonts w:ascii="Times New Roman" w:hAnsi="Times New Roman"/>
          <w:color w:val="000000"/>
          <w:sz w:val="20"/>
          <w:szCs w:val="20"/>
        </w:rPr>
        <w:t>Over</w:t>
      </w:r>
      <w:proofErr w:type="gramEnd"/>
      <w:r w:rsidRPr="00A727E1">
        <w:rPr>
          <w:rFonts w:ascii="Times New Roman" w:hAnsi="Times New Roman"/>
          <w:color w:val="000000"/>
          <w:sz w:val="20"/>
          <w:szCs w:val="20"/>
        </w:rPr>
        <w:t xml:space="preserve"> Financial Reporting</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There have been no changes in the company</w:t>
      </w:r>
      <w:r w:rsidRPr="00A727E1">
        <w:rPr>
          <w:rFonts w:ascii="Times New Roman" w:hAnsi="Times New Roman"/>
          <w:color w:val="000000"/>
          <w:sz w:val="20"/>
          <w:szCs w:val="20"/>
        </w:rPr>
        <w:t>’</w:t>
      </w:r>
      <w:r w:rsidRPr="00A727E1">
        <w:rPr>
          <w:rFonts w:ascii="Times New Roman" w:hAnsi="Times New Roman"/>
          <w:color w:val="000000"/>
          <w:sz w:val="20"/>
          <w:szCs w:val="20"/>
        </w:rPr>
        <w:t>s</w:t>
      </w:r>
      <w:r w:rsidRPr="00A727E1">
        <w:rPr>
          <w:rFonts w:ascii="Times New Roman" w:hAnsi="Times New Roman"/>
          <w:color w:val="000000"/>
          <w:sz w:val="20"/>
          <w:szCs w:val="20"/>
        </w:rPr>
        <w:t xml:space="preserve"> internal controls over Financial Reporting since the year ended June 30, 2012, although the Company has reviewed its internal controls relative to the Sarbanes-Oxley Act provisions and expects that there will be revisions to some of its existing processes</w:t>
      </w:r>
      <w:r w:rsidRPr="00A727E1">
        <w:rPr>
          <w:rFonts w:ascii="Times New Roman" w:hAnsi="Times New Roman"/>
          <w:color w:val="000000"/>
          <w:sz w:val="20"/>
          <w:szCs w:val="20"/>
        </w:rPr>
        <w:t xml:space="preserve"> and controls during the current fiscal year.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sectPr w:rsidR="00000000" w:rsidRPr="00A727E1">
          <w:headerReference w:type="default" r:id="rId24"/>
          <w:footerReference w:type="default" r:id="rId25"/>
          <w:pgSz w:w="11906" w:h="16838"/>
          <w:pgMar w:top="720" w:right="720" w:bottom="720" w:left="720" w:header="720" w:footer="720" w:gutter="0"/>
          <w:cols w:space="720"/>
          <w:noEndnote/>
        </w:sectPr>
      </w:pP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b/>
          <w:bCs/>
          <w:color w:val="000000"/>
          <w:sz w:val="20"/>
          <w:szCs w:val="20"/>
        </w:rPr>
        <w:t>PART II - OTHER INFORMATION</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b/>
          <w:bCs/>
          <w:color w:val="000000"/>
          <w:sz w:val="20"/>
          <w:szCs w:val="20"/>
        </w:rPr>
        <w:t xml:space="preserve">ITEM 1 </w:t>
      </w:r>
      <w:r w:rsidRPr="00A727E1">
        <w:rPr>
          <w:rFonts w:ascii="Times New Roman" w:hAnsi="Times New Roman"/>
          <w:b/>
          <w:bCs/>
          <w:color w:val="000000"/>
          <w:sz w:val="20"/>
          <w:szCs w:val="20"/>
        </w:rPr>
        <w:t>–</w:t>
      </w:r>
      <w:r w:rsidRPr="00A727E1">
        <w:rPr>
          <w:rFonts w:ascii="Times New Roman" w:hAnsi="Times New Roman"/>
          <w:b/>
          <w:bCs/>
          <w:color w:val="000000"/>
          <w:sz w:val="20"/>
          <w:szCs w:val="20"/>
        </w:rPr>
        <w:t xml:space="preserve"> LEGAL PROCEEDINGS</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None.</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b/>
          <w:bCs/>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b/>
          <w:bCs/>
          <w:color w:val="000000"/>
          <w:sz w:val="20"/>
          <w:szCs w:val="20"/>
        </w:rPr>
        <w:t>ITEM 2 </w:t>
      </w:r>
      <w:r w:rsidRPr="00A727E1">
        <w:rPr>
          <w:rFonts w:ascii="Times New Roman" w:hAnsi="Times New Roman"/>
          <w:b/>
          <w:bCs/>
          <w:color w:val="000000"/>
          <w:sz w:val="20"/>
          <w:szCs w:val="20"/>
        </w:rPr>
        <w:t>–</w:t>
      </w:r>
      <w:r w:rsidRPr="00A727E1">
        <w:rPr>
          <w:rFonts w:ascii="Times New Roman" w:hAnsi="Times New Roman"/>
          <w:b/>
          <w:bCs/>
          <w:color w:val="000000"/>
          <w:sz w:val="20"/>
          <w:szCs w:val="20"/>
        </w:rPr>
        <w:t xml:space="preserve"> UNREGISTERED SALES OF EQUITY SECURITIES AND USE OF PROCEEDS; PURCHASES OF EQUITY SECURITIES</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Not applicable</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b/>
          <w:bCs/>
          <w:color w:val="000000"/>
          <w:sz w:val="20"/>
          <w:szCs w:val="20"/>
        </w:rPr>
        <w:t>ITEM 3 </w:t>
      </w:r>
      <w:r w:rsidRPr="00A727E1">
        <w:rPr>
          <w:rFonts w:ascii="Times New Roman" w:hAnsi="Times New Roman"/>
          <w:b/>
          <w:bCs/>
          <w:color w:val="000000"/>
          <w:sz w:val="20"/>
          <w:szCs w:val="20"/>
        </w:rPr>
        <w:t>–</w:t>
      </w:r>
      <w:r w:rsidRPr="00A727E1">
        <w:rPr>
          <w:rFonts w:ascii="Times New Roman" w:hAnsi="Times New Roman"/>
          <w:b/>
          <w:bCs/>
          <w:color w:val="000000"/>
          <w:sz w:val="20"/>
          <w:szCs w:val="20"/>
        </w:rPr>
        <w:t xml:space="preserve"> DEFAULTS UPON SENIOR SECURITIES</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None</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b/>
          <w:bCs/>
          <w:color w:val="000000"/>
          <w:sz w:val="20"/>
          <w:szCs w:val="20"/>
        </w:rPr>
        <w:t>ITEM 4 </w:t>
      </w:r>
      <w:r w:rsidRPr="00A727E1">
        <w:rPr>
          <w:rFonts w:ascii="Times New Roman" w:hAnsi="Times New Roman"/>
          <w:b/>
          <w:bCs/>
          <w:color w:val="000000"/>
          <w:sz w:val="20"/>
          <w:szCs w:val="20"/>
        </w:rPr>
        <w:t>–</w:t>
      </w:r>
      <w:r w:rsidRPr="00A727E1">
        <w:rPr>
          <w:rFonts w:ascii="Times New Roman" w:hAnsi="Times New Roman"/>
          <w:b/>
          <w:bCs/>
          <w:color w:val="000000"/>
          <w:sz w:val="20"/>
          <w:szCs w:val="20"/>
        </w:rPr>
        <w:t xml:space="preserve"> SUBMISSION OF MATTERS TO A VOTE OF SECURITY HOLDERS</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None</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b/>
          <w:bCs/>
          <w:color w:val="000000"/>
          <w:sz w:val="20"/>
          <w:szCs w:val="20"/>
        </w:rPr>
        <w:t>ITEM 5 </w:t>
      </w:r>
      <w:r w:rsidRPr="00A727E1">
        <w:rPr>
          <w:rFonts w:ascii="Times New Roman" w:hAnsi="Times New Roman"/>
          <w:b/>
          <w:bCs/>
          <w:color w:val="000000"/>
          <w:sz w:val="20"/>
          <w:szCs w:val="20"/>
        </w:rPr>
        <w:t>–</w:t>
      </w:r>
      <w:r w:rsidRPr="00A727E1">
        <w:rPr>
          <w:rFonts w:ascii="Times New Roman" w:hAnsi="Times New Roman"/>
          <w:b/>
          <w:bCs/>
          <w:color w:val="000000"/>
          <w:sz w:val="20"/>
          <w:szCs w:val="20"/>
        </w:rPr>
        <w:t xml:space="preserve"> OTHER MATTERS</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None</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serif" w:hAnsi="serif" w:cs="serif"/>
          <w:color w:val="000000"/>
          <w:sz w:val="20"/>
          <w:szCs w:val="20"/>
        </w:rPr>
        <w:t xml:space="preserve"> </w:t>
      </w:r>
      <w:r w:rsidRPr="00A727E1">
        <w:rPr>
          <w:rFonts w:ascii="Times New Roman" w:hAnsi="Times New Roman"/>
          <w:b/>
          <w:bCs/>
          <w:color w:val="000000"/>
          <w:sz w:val="20"/>
          <w:szCs w:val="20"/>
        </w:rPr>
        <w:t>ITEM 6 </w:t>
      </w:r>
      <w:r w:rsidRPr="00A727E1">
        <w:rPr>
          <w:rFonts w:ascii="Times New Roman" w:hAnsi="Times New Roman"/>
          <w:b/>
          <w:bCs/>
          <w:color w:val="000000"/>
          <w:sz w:val="20"/>
          <w:szCs w:val="20"/>
        </w:rPr>
        <w:t>–</w:t>
      </w:r>
      <w:r w:rsidRPr="00A727E1">
        <w:rPr>
          <w:rFonts w:ascii="Times New Roman" w:hAnsi="Times New Roman"/>
          <w:b/>
          <w:bCs/>
          <w:color w:val="000000"/>
          <w:sz w:val="20"/>
          <w:szCs w:val="20"/>
        </w:rPr>
        <w:t xml:space="preserve"> EXHIBITS</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(a.)  Exhibits</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tbl>
      <w:tblPr>
        <w:tblW w:w="0" w:type="auto"/>
        <w:tblInd w:w="1" w:type="dxa"/>
        <w:tblLayout w:type="fixed"/>
        <w:tblCellMar>
          <w:left w:w="0" w:type="dxa"/>
          <w:right w:w="0" w:type="dxa"/>
        </w:tblCellMar>
        <w:tblLook w:val="0000" w:firstRow="0" w:lastRow="0" w:firstColumn="0" w:lastColumn="0" w:noHBand="0" w:noVBand="0"/>
      </w:tblPr>
      <w:tblGrid>
        <w:gridCol w:w="1360"/>
        <w:gridCol w:w="627"/>
        <w:gridCol w:w="6907"/>
        <w:gridCol w:w="1569"/>
      </w:tblGrid>
      <w:tr w:rsidR="00000000" w:rsidRPr="00E13FC6">
        <w:tblPrEx>
          <w:tblCellMar>
            <w:top w:w="0" w:type="dxa"/>
            <w:left w:w="0" w:type="dxa"/>
            <w:bottom w:w="0" w:type="dxa"/>
            <w:right w:w="0" w:type="dxa"/>
          </w:tblCellMar>
        </w:tblPrEx>
        <w:tc>
          <w:tcPr>
            <w:tcW w:w="1360" w:type="dxa"/>
            <w:tcBorders>
              <w:top w:val="nil"/>
              <w:left w:val="nil"/>
              <w:bottom w:val="single" w:sz="8" w:space="0" w:color="000000"/>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b/>
                <w:bCs/>
                <w:color w:val="000000"/>
                <w:sz w:val="20"/>
                <w:szCs w:val="20"/>
              </w:rPr>
              <w:t>Exhibit No.</w:t>
            </w:r>
          </w:p>
        </w:tc>
        <w:tc>
          <w:tcPr>
            <w:tcW w:w="62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6907" w:type="dxa"/>
            <w:tcBorders>
              <w:top w:val="nil"/>
              <w:left w:val="nil"/>
              <w:bottom w:val="single" w:sz="8" w:space="0" w:color="000000"/>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b/>
                <w:bCs/>
                <w:color w:val="000000"/>
                <w:sz w:val="20"/>
                <w:szCs w:val="20"/>
              </w:rPr>
              <w:t>Description</w:t>
            </w:r>
          </w:p>
        </w:tc>
        <w:tc>
          <w:tcPr>
            <w:tcW w:w="1569"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1360"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62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690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569"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1360"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31.1</w:t>
            </w:r>
          </w:p>
        </w:tc>
        <w:tc>
          <w:tcPr>
            <w:tcW w:w="62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690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hyperlink r:id="rId26" w:history="1">
              <w:r w:rsidRPr="00E13FC6">
                <w:rPr>
                  <w:rFonts w:ascii="Times New Roman" w:hAnsi="Times New Roman"/>
                  <w:color w:val="0000FF"/>
                  <w:sz w:val="20"/>
                  <w:szCs w:val="20"/>
                  <w:u w:val="single" w:color="0000FF"/>
                </w:rPr>
                <w:t>Certification of CEO</w:t>
              </w:r>
            </w:hyperlink>
          </w:p>
        </w:tc>
        <w:tc>
          <w:tcPr>
            <w:tcW w:w="1569"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1360"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31.2</w:t>
            </w:r>
          </w:p>
        </w:tc>
        <w:tc>
          <w:tcPr>
            <w:tcW w:w="62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690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hyperlink r:id="rId27" w:history="1">
              <w:r w:rsidRPr="00E13FC6">
                <w:rPr>
                  <w:rFonts w:ascii="Times New Roman" w:hAnsi="Times New Roman"/>
                  <w:color w:val="0000FF"/>
                  <w:sz w:val="20"/>
                  <w:szCs w:val="20"/>
                  <w:u w:val="single" w:color="0000FF"/>
                </w:rPr>
                <w:t>Certification of CFO</w:t>
              </w:r>
            </w:hyperlink>
          </w:p>
        </w:tc>
        <w:tc>
          <w:tcPr>
            <w:tcW w:w="1569"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1360"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32.1</w:t>
            </w:r>
          </w:p>
        </w:tc>
        <w:tc>
          <w:tcPr>
            <w:tcW w:w="62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690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hyperlink r:id="rId28" w:history="1">
              <w:r w:rsidRPr="00E13FC6">
                <w:rPr>
                  <w:rFonts w:ascii="Times New Roman" w:hAnsi="Times New Roman"/>
                  <w:color w:val="0000FF"/>
                  <w:sz w:val="20"/>
                  <w:szCs w:val="20"/>
                  <w:u w:val="single" w:color="0000FF"/>
                </w:rPr>
                <w:t>Certification of CEO</w:t>
              </w:r>
            </w:hyperlink>
          </w:p>
        </w:tc>
        <w:tc>
          <w:tcPr>
            <w:tcW w:w="1569"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1360"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32.2</w:t>
            </w:r>
          </w:p>
        </w:tc>
        <w:tc>
          <w:tcPr>
            <w:tcW w:w="62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690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hyperlink r:id="rId29" w:history="1">
              <w:r w:rsidRPr="00E13FC6">
                <w:rPr>
                  <w:rFonts w:ascii="Times New Roman" w:hAnsi="Times New Roman"/>
                  <w:color w:val="0000FF"/>
                  <w:sz w:val="20"/>
                  <w:szCs w:val="20"/>
                  <w:u w:val="single" w:color="0000FF"/>
                </w:rPr>
                <w:t>Certification of CFO</w:t>
              </w:r>
            </w:hyperlink>
          </w:p>
        </w:tc>
        <w:tc>
          <w:tcPr>
            <w:tcW w:w="1569"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1360"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101.INS</w:t>
            </w:r>
          </w:p>
        </w:tc>
        <w:tc>
          <w:tcPr>
            <w:tcW w:w="62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690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XBRL Instance Documen</w:t>
            </w:r>
            <w:r w:rsidRPr="00E13FC6">
              <w:rPr>
                <w:rFonts w:ascii="Times New Roman" w:hAnsi="Times New Roman"/>
                <w:color w:val="000000"/>
                <w:sz w:val="20"/>
                <w:szCs w:val="20"/>
              </w:rPr>
              <w:t>t</w:t>
            </w:r>
          </w:p>
        </w:tc>
        <w:tc>
          <w:tcPr>
            <w:tcW w:w="1569"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1360"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101.SCH</w:t>
            </w:r>
          </w:p>
        </w:tc>
        <w:tc>
          <w:tcPr>
            <w:tcW w:w="62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690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XBRL Taxonomy Extension Schema Document</w:t>
            </w:r>
          </w:p>
        </w:tc>
        <w:tc>
          <w:tcPr>
            <w:tcW w:w="1569"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1360"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101.CAL</w:t>
            </w:r>
          </w:p>
        </w:tc>
        <w:tc>
          <w:tcPr>
            <w:tcW w:w="62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690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XBRL Taxonomy Extension Calculation </w:t>
            </w:r>
            <w:proofErr w:type="spellStart"/>
            <w:r w:rsidRPr="00E13FC6">
              <w:rPr>
                <w:rFonts w:ascii="Times New Roman" w:hAnsi="Times New Roman"/>
                <w:color w:val="000000"/>
                <w:sz w:val="20"/>
                <w:szCs w:val="20"/>
              </w:rPr>
              <w:t>Linkbase</w:t>
            </w:r>
            <w:proofErr w:type="spellEnd"/>
            <w:r w:rsidRPr="00E13FC6">
              <w:rPr>
                <w:rFonts w:ascii="Times New Roman" w:hAnsi="Times New Roman"/>
                <w:color w:val="000000"/>
                <w:sz w:val="20"/>
                <w:szCs w:val="20"/>
              </w:rPr>
              <w:t xml:space="preserve"> Document</w:t>
            </w:r>
          </w:p>
        </w:tc>
        <w:tc>
          <w:tcPr>
            <w:tcW w:w="1569"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1360"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101.DEF</w:t>
            </w:r>
          </w:p>
        </w:tc>
        <w:tc>
          <w:tcPr>
            <w:tcW w:w="62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690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XBRL Taxonomy Extension Definition </w:t>
            </w:r>
            <w:proofErr w:type="spellStart"/>
            <w:r w:rsidRPr="00E13FC6">
              <w:rPr>
                <w:rFonts w:ascii="Times New Roman" w:hAnsi="Times New Roman"/>
                <w:color w:val="000000"/>
                <w:sz w:val="20"/>
                <w:szCs w:val="20"/>
              </w:rPr>
              <w:t>Linkbase</w:t>
            </w:r>
            <w:proofErr w:type="spellEnd"/>
            <w:r w:rsidRPr="00E13FC6">
              <w:rPr>
                <w:rFonts w:ascii="Times New Roman" w:hAnsi="Times New Roman"/>
                <w:color w:val="000000"/>
                <w:sz w:val="20"/>
                <w:szCs w:val="20"/>
              </w:rPr>
              <w:t xml:space="preserve"> Document</w:t>
            </w:r>
          </w:p>
        </w:tc>
        <w:tc>
          <w:tcPr>
            <w:tcW w:w="1569"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1360"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101.LAB</w:t>
            </w:r>
          </w:p>
        </w:tc>
        <w:tc>
          <w:tcPr>
            <w:tcW w:w="62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690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XBRL Taxonomy Extension Label </w:t>
            </w:r>
            <w:proofErr w:type="spellStart"/>
            <w:r w:rsidRPr="00E13FC6">
              <w:rPr>
                <w:rFonts w:ascii="Times New Roman" w:hAnsi="Times New Roman"/>
                <w:color w:val="000000"/>
                <w:sz w:val="20"/>
                <w:szCs w:val="20"/>
              </w:rPr>
              <w:t>Linkbase</w:t>
            </w:r>
            <w:proofErr w:type="spellEnd"/>
            <w:r w:rsidRPr="00E13FC6">
              <w:rPr>
                <w:rFonts w:ascii="Times New Roman" w:hAnsi="Times New Roman"/>
                <w:color w:val="000000"/>
                <w:sz w:val="20"/>
                <w:szCs w:val="20"/>
              </w:rPr>
              <w:t xml:space="preserve"> Document</w:t>
            </w:r>
          </w:p>
        </w:tc>
        <w:tc>
          <w:tcPr>
            <w:tcW w:w="1569"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1360"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101.PRE</w:t>
            </w:r>
          </w:p>
        </w:tc>
        <w:tc>
          <w:tcPr>
            <w:tcW w:w="62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6907"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XBRL Taxonomy Extension Presentation </w:t>
            </w:r>
            <w:proofErr w:type="spellStart"/>
            <w:r w:rsidRPr="00E13FC6">
              <w:rPr>
                <w:rFonts w:ascii="Times New Roman" w:hAnsi="Times New Roman"/>
                <w:color w:val="000000"/>
                <w:sz w:val="20"/>
                <w:szCs w:val="20"/>
              </w:rPr>
              <w:t>Linkbase</w:t>
            </w:r>
            <w:proofErr w:type="spellEnd"/>
            <w:r w:rsidRPr="00E13FC6">
              <w:rPr>
                <w:rFonts w:ascii="Times New Roman" w:hAnsi="Times New Roman"/>
                <w:color w:val="000000"/>
                <w:sz w:val="20"/>
                <w:szCs w:val="20"/>
              </w:rPr>
              <w:t xml:space="preserve"> Document</w:t>
            </w:r>
          </w:p>
        </w:tc>
        <w:tc>
          <w:tcPr>
            <w:tcW w:w="1569"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bl>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sectPr w:rsidR="00000000" w:rsidRPr="00A727E1">
          <w:headerReference w:type="default" r:id="rId30"/>
          <w:footerReference w:type="default" r:id="rId31"/>
          <w:pgSz w:w="11906" w:h="16838"/>
          <w:pgMar w:top="720" w:right="720" w:bottom="720" w:left="720" w:header="720" w:footer="720" w:gutter="0"/>
          <w:cols w:space="720"/>
          <w:noEndnote/>
        </w:sect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lastRenderedPageBreak/>
        <w:t> </w:t>
      </w: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b/>
          <w:bCs/>
          <w:color w:val="000000"/>
          <w:sz w:val="20"/>
          <w:szCs w:val="20"/>
        </w:rPr>
        <w:t>SIGNATURES</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In accordance with the requirements of the Exchange Act, the registrant caused this report to be signed on its behalf by the undersigned, thereunto duly authorized.</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tbl>
      <w:tblPr>
        <w:tblW w:w="0" w:type="auto"/>
        <w:tblInd w:w="1" w:type="dxa"/>
        <w:tblLayout w:type="fixed"/>
        <w:tblCellMar>
          <w:left w:w="0" w:type="dxa"/>
          <w:right w:w="0" w:type="dxa"/>
        </w:tblCellMar>
        <w:tblLook w:val="0000" w:firstRow="0" w:lastRow="0" w:firstColumn="0" w:lastColumn="0" w:noHBand="0" w:noVBand="0"/>
      </w:tblPr>
      <w:tblGrid>
        <w:gridCol w:w="4081"/>
        <w:gridCol w:w="784"/>
        <w:gridCol w:w="3610"/>
        <w:gridCol w:w="1988"/>
      </w:tblGrid>
      <w:tr w:rsidR="00000000" w:rsidRPr="00E13FC6">
        <w:tblPrEx>
          <w:tblCellMar>
            <w:top w:w="0" w:type="dxa"/>
            <w:left w:w="0" w:type="dxa"/>
            <w:bottom w:w="0" w:type="dxa"/>
            <w:right w:w="0" w:type="dxa"/>
          </w:tblCellMar>
        </w:tblPrEx>
        <w:tc>
          <w:tcPr>
            <w:tcW w:w="4081"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4394" w:type="dxa"/>
            <w:gridSpan w:val="2"/>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b/>
                <w:bCs/>
                <w:color w:val="000000"/>
                <w:sz w:val="20"/>
                <w:szCs w:val="20"/>
              </w:rPr>
              <w:t>MOLLER INTERNATIONAL, INC.</w:t>
            </w:r>
          </w:p>
        </w:tc>
        <w:tc>
          <w:tcPr>
            <w:tcW w:w="198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081"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784"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3610"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98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081"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Date:  May 20, 2013</w:t>
            </w:r>
          </w:p>
        </w:tc>
        <w:tc>
          <w:tcPr>
            <w:tcW w:w="784"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By:</w:t>
            </w:r>
          </w:p>
        </w:tc>
        <w:tc>
          <w:tcPr>
            <w:tcW w:w="3610" w:type="dxa"/>
            <w:tcBorders>
              <w:top w:val="nil"/>
              <w:left w:val="nil"/>
              <w:bottom w:val="single" w:sz="8" w:space="0" w:color="000000"/>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/s/ Paul S. Moller</w:t>
            </w:r>
            <w:r w:rsidRPr="00E13FC6">
              <w:rPr>
                <w:rFonts w:ascii="Times New Roman" w:hAnsi="Times New Roman"/>
                <w:color w:val="000000"/>
                <w:sz w:val="20"/>
                <w:szCs w:val="20"/>
              </w:rPr>
              <w:t> </w:t>
            </w:r>
          </w:p>
        </w:tc>
        <w:tc>
          <w:tcPr>
            <w:tcW w:w="198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081"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784"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3610" w:type="dxa"/>
            <w:tcBorders>
              <w:top w:val="nil"/>
              <w:left w:val="nil"/>
              <w:bottom w:val="nil"/>
              <w:right w:val="nil"/>
            </w:tcBorders>
            <w:vAlign w:val="bottom"/>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Paul S. Moller, Ph.D.</w:t>
            </w:r>
          </w:p>
        </w:tc>
        <w:tc>
          <w:tcPr>
            <w:tcW w:w="198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081"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784"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3610"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President, CEO, Chairman of the Board</w:t>
            </w:r>
          </w:p>
        </w:tc>
        <w:tc>
          <w:tcPr>
            <w:tcW w:w="198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r w:rsidR="00000000" w:rsidRPr="00E13FC6">
        <w:tblPrEx>
          <w:tblCellMar>
            <w:top w:w="0" w:type="dxa"/>
            <w:left w:w="0" w:type="dxa"/>
            <w:bottom w:w="0" w:type="dxa"/>
            <w:right w:w="0" w:type="dxa"/>
          </w:tblCellMar>
        </w:tblPrEx>
        <w:tc>
          <w:tcPr>
            <w:tcW w:w="4081"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784"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3610"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c>
          <w:tcPr>
            <w:tcW w:w="1988" w:type="dxa"/>
            <w:tcBorders>
              <w:top w:val="nil"/>
              <w:left w:val="nil"/>
              <w:bottom w:val="nil"/>
              <w:right w:val="nil"/>
            </w:tcBorders>
          </w:tcPr>
          <w:p w:rsidR="00000000" w:rsidRPr="00E13FC6" w:rsidRDefault="00E13FC6">
            <w:pPr>
              <w:widowControl w:val="0"/>
              <w:autoSpaceDE w:val="0"/>
              <w:autoSpaceDN w:val="0"/>
              <w:adjustRightInd w:val="0"/>
              <w:spacing w:after="0" w:line="240" w:lineRule="auto"/>
              <w:rPr>
                <w:rFonts w:ascii="Times New Roman" w:hAnsi="Times New Roman"/>
                <w:color w:val="000000"/>
                <w:sz w:val="20"/>
                <w:szCs w:val="20"/>
              </w:rPr>
            </w:pPr>
            <w:r w:rsidRPr="00E13FC6">
              <w:rPr>
                <w:rFonts w:ascii="Times New Roman" w:hAnsi="Times New Roman"/>
                <w:color w:val="000000"/>
                <w:sz w:val="20"/>
                <w:szCs w:val="20"/>
              </w:rPr>
              <w:t xml:space="preserve">  </w:t>
            </w:r>
          </w:p>
        </w:tc>
      </w:tr>
    </w:tbl>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jc w:val="right"/>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sectPr w:rsidR="00000000" w:rsidRPr="00A727E1">
          <w:headerReference w:type="default" r:id="rId32"/>
          <w:footerReference w:type="default" r:id="rId33"/>
          <w:pgSz w:w="11906" w:h="16838"/>
          <w:pgMar w:top="720" w:right="720" w:bottom="720" w:left="720" w:header="720" w:footer="720" w:gutter="0"/>
          <w:cols w:space="720"/>
          <w:noEndnote/>
        </w:sect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serif" w:hAnsi="serif" w:cs="serif"/>
          <w:color w:val="000000"/>
          <w:sz w:val="20"/>
          <w:szCs w:val="20"/>
        </w:rPr>
        <w:lastRenderedPageBreak/>
        <w:t> </w:t>
      </w:r>
    </w:p>
    <w:p w:rsidR="00000000" w:rsidRPr="00A727E1" w:rsidRDefault="00E13FC6">
      <w:pPr>
        <w:widowControl w:val="0"/>
        <w:autoSpaceDE w:val="0"/>
        <w:autoSpaceDN w:val="0"/>
        <w:adjustRightInd w:val="0"/>
        <w:spacing w:after="0" w:line="240" w:lineRule="auto"/>
        <w:jc w:val="right"/>
        <w:rPr>
          <w:rFonts w:ascii="serif" w:hAnsi="serif" w:cs="serif"/>
          <w:color w:val="000000"/>
          <w:sz w:val="20"/>
          <w:szCs w:val="20"/>
        </w:rPr>
      </w:pPr>
      <w:r w:rsidRPr="00A727E1">
        <w:rPr>
          <w:rFonts w:ascii="Times New Roman" w:hAnsi="Times New Roman"/>
          <w:b/>
          <w:bCs/>
          <w:color w:val="000000"/>
          <w:sz w:val="20"/>
          <w:szCs w:val="20"/>
        </w:rPr>
        <w:t>EXHIBIT 31.1</w:t>
      </w: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b/>
          <w:bCs/>
          <w:color w:val="000000"/>
          <w:sz w:val="20"/>
          <w:szCs w:val="20"/>
        </w:rPr>
        <w:t>CERTIFICATION OF CEO</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b/>
          <w:bCs/>
          <w:color w:val="000000"/>
          <w:sz w:val="20"/>
          <w:szCs w:val="20"/>
        </w:rPr>
        <w:t>PURSUANT TO RULES 13A-14 AND 15D-14</w:t>
      </w: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b/>
          <w:bCs/>
          <w:color w:val="000000"/>
          <w:sz w:val="20"/>
          <w:szCs w:val="20"/>
        </w:rPr>
        <w:t>OF THE SECURITIES EXCHANGE ACT OF 1934, AS AMENDED, AS ADOPTED</w:t>
      </w: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b/>
          <w:bCs/>
          <w:color w:val="000000"/>
          <w:sz w:val="20"/>
          <w:szCs w:val="20"/>
        </w:rPr>
        <w:t>PURSUANT TO SECTION 302 OF THE SARBANES-OXLEY ACT OF 2002</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I, Paul S. Moller, Chief Executive Officer, certify that:</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1. I have reviewed this quarterly repor</w:t>
      </w:r>
      <w:r w:rsidRPr="00A727E1">
        <w:rPr>
          <w:rFonts w:ascii="Times New Roman" w:hAnsi="Times New Roman"/>
          <w:color w:val="000000"/>
          <w:sz w:val="20"/>
          <w:szCs w:val="20"/>
        </w:rPr>
        <w:t>t on Form 10-Q of Moller International, Inc.;</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2. Based on my knowledge, this quarterly report does not contain any untrue statement of a material fact or omit to state a material fact necessary to make the statements made, in light of the circumstances un</w:t>
      </w:r>
      <w:r w:rsidRPr="00A727E1">
        <w:rPr>
          <w:rFonts w:ascii="Times New Roman" w:hAnsi="Times New Roman"/>
          <w:color w:val="000000"/>
          <w:sz w:val="20"/>
          <w:szCs w:val="20"/>
        </w:rPr>
        <w:t>der which such statements were made, not misleading with respect to the period covered by this quarterly report;</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3. Based on my knowledge, the financial statements, and other financial information included in this quarterly report, fairly present in all m</w:t>
      </w:r>
      <w:r w:rsidRPr="00A727E1">
        <w:rPr>
          <w:rFonts w:ascii="Times New Roman" w:hAnsi="Times New Roman"/>
          <w:color w:val="000000"/>
          <w:sz w:val="20"/>
          <w:szCs w:val="20"/>
        </w:rPr>
        <w:t>aterial respects the financial condition, results of operations and cash flows of the</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proofErr w:type="gramStart"/>
      <w:r w:rsidRPr="00A727E1">
        <w:rPr>
          <w:rFonts w:ascii="Times New Roman" w:hAnsi="Times New Roman"/>
          <w:color w:val="000000"/>
          <w:sz w:val="20"/>
          <w:szCs w:val="20"/>
        </w:rPr>
        <w:t>registrant</w:t>
      </w:r>
      <w:proofErr w:type="gramEnd"/>
      <w:r w:rsidRPr="00A727E1">
        <w:rPr>
          <w:rFonts w:ascii="Times New Roman" w:hAnsi="Times New Roman"/>
          <w:color w:val="000000"/>
          <w:sz w:val="20"/>
          <w:szCs w:val="20"/>
        </w:rPr>
        <w:t xml:space="preserve"> as of, and for, the periods presented in this quarterly report;</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4. The registrant's other certifying officers and I, are responsible for establishing and main</w:t>
      </w:r>
      <w:r w:rsidRPr="00A727E1">
        <w:rPr>
          <w:rFonts w:ascii="Times New Roman" w:hAnsi="Times New Roman"/>
          <w:color w:val="000000"/>
          <w:sz w:val="20"/>
          <w:szCs w:val="20"/>
        </w:rPr>
        <w:t>taining disclosure controls and procedures (as defined in Exchange Act Rules 13a-14 and 15d-14) for the registrant and we have:</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a.           </w:t>
      </w:r>
      <w:r w:rsidRPr="00A727E1">
        <w:rPr>
          <w:rFonts w:ascii="Times New Roman" w:hAnsi="Times New Roman"/>
          <w:color w:val="000000"/>
          <w:sz w:val="20"/>
          <w:szCs w:val="20"/>
        </w:rPr>
        <w:t>designed such disclosure controls and procedures to ensure that material information relating to the registrant, including its consolidated subsidiaries, is made known to us by others within those entities, particularly during the period in which this quar</w:t>
      </w:r>
      <w:r w:rsidRPr="00A727E1">
        <w:rPr>
          <w:rFonts w:ascii="Times New Roman" w:hAnsi="Times New Roman"/>
          <w:color w:val="000000"/>
          <w:sz w:val="20"/>
          <w:szCs w:val="20"/>
        </w:rPr>
        <w:t>terly report is being prepared;</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b.           evaluated the effectiveness of the registrant's disclosure controls and procedures as of a date within 90 days prior to the filing date of this quarterly report (the "Evaluation Date"); and</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proofErr w:type="gramStart"/>
      <w:r w:rsidRPr="00A727E1">
        <w:rPr>
          <w:rFonts w:ascii="Times New Roman" w:hAnsi="Times New Roman"/>
          <w:color w:val="000000"/>
          <w:sz w:val="20"/>
          <w:szCs w:val="20"/>
        </w:rPr>
        <w:t>c</w:t>
      </w:r>
      <w:proofErr w:type="gramEnd"/>
      <w:r w:rsidRPr="00A727E1">
        <w:rPr>
          <w:rFonts w:ascii="Times New Roman" w:hAnsi="Times New Roman"/>
          <w:color w:val="000000"/>
          <w:sz w:val="20"/>
          <w:szCs w:val="20"/>
        </w:rPr>
        <w:t>.           presente</w:t>
      </w:r>
      <w:r w:rsidRPr="00A727E1">
        <w:rPr>
          <w:rFonts w:ascii="Times New Roman" w:hAnsi="Times New Roman"/>
          <w:color w:val="000000"/>
          <w:sz w:val="20"/>
          <w:szCs w:val="20"/>
        </w:rPr>
        <w:t>d in this quarterly report our conclusions about the effectiveness of the disclosure controls and procedures based on our evaluation as of the Evaluation Date;</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5. The registrant's other certifying officers and I have disclosed, based on our most recent ev</w:t>
      </w:r>
      <w:r w:rsidRPr="00A727E1">
        <w:rPr>
          <w:rFonts w:ascii="Times New Roman" w:hAnsi="Times New Roman"/>
          <w:color w:val="000000"/>
          <w:sz w:val="20"/>
          <w:szCs w:val="20"/>
        </w:rPr>
        <w:t>aluation, to the registrant's auditors and the audit committee of registrant's board of directors (or persons performing the equivalent function):</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a.           all significant deficiencies in the design or operation of internal controls which could advers</w:t>
      </w:r>
      <w:r w:rsidRPr="00A727E1">
        <w:rPr>
          <w:rFonts w:ascii="Times New Roman" w:hAnsi="Times New Roman"/>
          <w:color w:val="000000"/>
          <w:sz w:val="20"/>
          <w:szCs w:val="20"/>
        </w:rPr>
        <w:t>ely affect the registrant's ability to record, process, summarize and report financial data and have identified for the registrant's auditors any material weaknesses in internal controls; and</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proofErr w:type="gramStart"/>
      <w:r w:rsidRPr="00A727E1">
        <w:rPr>
          <w:rFonts w:ascii="Times New Roman" w:hAnsi="Times New Roman"/>
          <w:color w:val="000000"/>
          <w:sz w:val="20"/>
          <w:szCs w:val="20"/>
        </w:rPr>
        <w:t>b</w:t>
      </w:r>
      <w:proofErr w:type="gramEnd"/>
      <w:r w:rsidRPr="00A727E1">
        <w:rPr>
          <w:rFonts w:ascii="Times New Roman" w:hAnsi="Times New Roman"/>
          <w:color w:val="000000"/>
          <w:sz w:val="20"/>
          <w:szCs w:val="20"/>
        </w:rPr>
        <w:t>.           any fraud, whether or not material, that involves m</w:t>
      </w:r>
      <w:r w:rsidRPr="00A727E1">
        <w:rPr>
          <w:rFonts w:ascii="Times New Roman" w:hAnsi="Times New Roman"/>
          <w:color w:val="000000"/>
          <w:sz w:val="20"/>
          <w:szCs w:val="20"/>
        </w:rPr>
        <w:t>anagement or other employees who have a significant role in the registrant's internal controls; and</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6. The registrant's other certifying officers and I have indicated in this quarterly report whether or not there were significant changes in internal contr</w:t>
      </w:r>
      <w:r w:rsidRPr="00A727E1">
        <w:rPr>
          <w:rFonts w:ascii="Times New Roman" w:hAnsi="Times New Roman"/>
          <w:color w:val="000000"/>
          <w:sz w:val="20"/>
          <w:szCs w:val="20"/>
        </w:rPr>
        <w:t>ols or in other factors that could significantly affect internal controls subsequent to the date of our most recent evaluation, including any corrective actions with regard to significant deficiencies and material weaknesses.</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Date:  May 20, 2013</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u w:val="single" w:color="000000"/>
        </w:rPr>
        <w:t>/s/ P</w:t>
      </w:r>
      <w:r w:rsidRPr="00A727E1">
        <w:rPr>
          <w:rFonts w:ascii="Times New Roman" w:hAnsi="Times New Roman"/>
          <w:color w:val="000000"/>
          <w:sz w:val="20"/>
          <w:szCs w:val="20"/>
          <w:u w:val="single" w:color="000000"/>
        </w:rPr>
        <w:t>aul S. Moller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Chief Executive Officer</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A727E1" w:rsidRDefault="00E13FC6">
      <w:pPr>
        <w:widowControl w:val="0"/>
        <w:autoSpaceDE w:val="0"/>
        <w:autoSpaceDN w:val="0"/>
        <w:adjustRightInd w:val="0"/>
        <w:spacing w:after="0" w:line="240" w:lineRule="auto"/>
        <w:rPr>
          <w:rFonts w:ascii="Times New Roman" w:hAnsi="Times New Roman"/>
          <w:color w:val="000000"/>
          <w:sz w:val="20"/>
          <w:szCs w:val="20"/>
        </w:rPr>
      </w:pPr>
      <w:r w:rsidRPr="00A727E1">
        <w:rPr>
          <w:rFonts w:ascii="Times New Roman" w:hAnsi="Times New Roman"/>
          <w:color w:val="000000"/>
          <w:sz w:val="20"/>
          <w:szCs w:val="20"/>
        </w:rPr>
        <w:t> </w:t>
      </w:r>
    </w:p>
    <w:p w:rsidR="00000000" w:rsidRPr="00A727E1" w:rsidRDefault="00A727E1">
      <w:pPr>
        <w:widowControl w:val="0"/>
        <w:autoSpaceDE w:val="0"/>
        <w:autoSpaceDN w:val="0"/>
        <w:adjustRightInd w:val="0"/>
        <w:spacing w:after="0" w:line="240" w:lineRule="auto"/>
        <w:rPr>
          <w:rFonts w:ascii="serif" w:hAnsi="serif" w:cs="serif"/>
          <w:color w:val="000000"/>
          <w:sz w:val="20"/>
          <w:szCs w:val="20"/>
        </w:rPr>
      </w:pPr>
      <w:r>
        <w:rPr>
          <w:rFonts w:ascii="Times New Roman" w:hAnsi="Times New Roman"/>
          <w:color w:val="000000"/>
          <w:sz w:val="20"/>
          <w:szCs w:val="20"/>
        </w:rPr>
        <w:br w:type="page"/>
      </w:r>
    </w:p>
    <w:p w:rsidR="00000000" w:rsidRPr="00A727E1" w:rsidRDefault="00E13FC6">
      <w:pPr>
        <w:widowControl w:val="0"/>
        <w:autoSpaceDE w:val="0"/>
        <w:autoSpaceDN w:val="0"/>
        <w:adjustRightInd w:val="0"/>
        <w:spacing w:after="0" w:line="240" w:lineRule="auto"/>
        <w:jc w:val="right"/>
        <w:rPr>
          <w:rFonts w:ascii="serif" w:hAnsi="serif" w:cs="serif"/>
          <w:color w:val="000000"/>
          <w:sz w:val="20"/>
          <w:szCs w:val="20"/>
        </w:rPr>
      </w:pPr>
      <w:r w:rsidRPr="00A727E1">
        <w:rPr>
          <w:rFonts w:ascii="Times New Roman" w:hAnsi="Times New Roman"/>
          <w:b/>
          <w:bCs/>
          <w:color w:val="000000"/>
          <w:sz w:val="20"/>
          <w:szCs w:val="20"/>
        </w:rPr>
        <w:t>EXHIBIT 31.2</w:t>
      </w: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b/>
          <w:bCs/>
          <w:color w:val="000000"/>
          <w:sz w:val="20"/>
          <w:szCs w:val="20"/>
        </w:rPr>
        <w:t>CERTIFICATION OF CFO</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b/>
          <w:bCs/>
          <w:color w:val="000000"/>
          <w:sz w:val="20"/>
          <w:szCs w:val="20"/>
        </w:rPr>
        <w:t>PURSUANT TO RULES 13A-14 AND 15D-14</w:t>
      </w: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b/>
          <w:bCs/>
          <w:color w:val="000000"/>
          <w:sz w:val="20"/>
          <w:szCs w:val="20"/>
        </w:rPr>
        <w:t>OF THE SECURITIES EXCHANGE ACT OF 1934, AS AMENDED, AS ADOPTED</w:t>
      </w: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b/>
          <w:bCs/>
          <w:color w:val="000000"/>
          <w:sz w:val="20"/>
          <w:szCs w:val="20"/>
        </w:rPr>
        <w:t>PURSUANT TO SECTION 302 OF THE SARBANES-OXLEY ACT OF 2002</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I, Paul S. Moller, Chief Financial Officer, certify that:</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1. I have reviewed this quarterly report on Form 10-Q of Moller International, Inc.;</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2. Based on my knowledge, this quarterly report does</w:t>
      </w:r>
      <w:r w:rsidRPr="00A727E1">
        <w:rPr>
          <w:rFonts w:ascii="Times New Roman" w:hAnsi="Times New Roman"/>
          <w:color w:val="000000"/>
          <w:sz w:val="20"/>
          <w:szCs w:val="20"/>
        </w:rPr>
        <w:t xml:space="preserve"> not contain any untrue statement of a material fact or omit to state a material fact necessary to make the statements made, in light of the circumstances under which such statements were made, not misleading with respect to the period covered by this quar</w:t>
      </w:r>
      <w:r w:rsidRPr="00A727E1">
        <w:rPr>
          <w:rFonts w:ascii="Times New Roman" w:hAnsi="Times New Roman"/>
          <w:color w:val="000000"/>
          <w:sz w:val="20"/>
          <w:szCs w:val="20"/>
        </w:rPr>
        <w:t>terly report;</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3. Based on my knowledge, the financial statements, and other financial information included in this quarterly report, fairly present in all material respects the financial condition, results of operations and cash flows of the registrant as</w:t>
      </w:r>
      <w:r w:rsidRPr="00A727E1">
        <w:rPr>
          <w:rFonts w:ascii="Times New Roman" w:hAnsi="Times New Roman"/>
          <w:color w:val="000000"/>
          <w:sz w:val="20"/>
          <w:szCs w:val="20"/>
        </w:rPr>
        <w:t xml:space="preserve"> of, and for, the periods presented in this quarterly report;</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4. The registrant's o</w:t>
      </w:r>
      <w:r w:rsidRPr="00A727E1">
        <w:rPr>
          <w:rFonts w:ascii="Times New Roman" w:hAnsi="Times New Roman"/>
          <w:color w:val="000000"/>
          <w:sz w:val="20"/>
          <w:szCs w:val="20"/>
        </w:rPr>
        <w:t>ther certifying officers and I are responsible for establishing and maintaining disclosure controls and procedures (as defined in Exchange Act Rules 13a-14 and 15d-14) for the registrant and we have:</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a.           designed such disclosure controls and proc</w:t>
      </w:r>
      <w:r w:rsidRPr="00A727E1">
        <w:rPr>
          <w:rFonts w:ascii="Times New Roman" w:hAnsi="Times New Roman"/>
          <w:color w:val="000000"/>
          <w:sz w:val="20"/>
          <w:szCs w:val="20"/>
        </w:rPr>
        <w:t>edures to ensure that material information relating to the registrant, including its consolidated subsidiaries, is made known to us by others within those entities, particularly during the period in which this quarterly report is being prepared;</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b.        </w:t>
      </w:r>
      <w:r w:rsidRPr="00A727E1">
        <w:rPr>
          <w:rFonts w:ascii="Times New Roman" w:hAnsi="Times New Roman"/>
          <w:color w:val="000000"/>
          <w:sz w:val="20"/>
          <w:szCs w:val="20"/>
        </w:rPr>
        <w:t>   evaluated the effectiveness of the registrant's disclosure controls and procedures as of a date within 90 days prior to the filing date of this quarterly report (the "Evaluation Date"); and</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proofErr w:type="gramStart"/>
      <w:r w:rsidRPr="00A727E1">
        <w:rPr>
          <w:rFonts w:ascii="Times New Roman" w:hAnsi="Times New Roman"/>
          <w:color w:val="000000"/>
          <w:sz w:val="20"/>
          <w:szCs w:val="20"/>
        </w:rPr>
        <w:t>c</w:t>
      </w:r>
      <w:proofErr w:type="gramEnd"/>
      <w:r w:rsidRPr="00A727E1">
        <w:rPr>
          <w:rFonts w:ascii="Times New Roman" w:hAnsi="Times New Roman"/>
          <w:color w:val="000000"/>
          <w:sz w:val="20"/>
          <w:szCs w:val="20"/>
        </w:rPr>
        <w:t>.           presented in this quarterly report our conclusions</w:t>
      </w:r>
      <w:r w:rsidRPr="00A727E1">
        <w:rPr>
          <w:rFonts w:ascii="Times New Roman" w:hAnsi="Times New Roman"/>
          <w:color w:val="000000"/>
          <w:sz w:val="20"/>
          <w:szCs w:val="20"/>
        </w:rPr>
        <w:t xml:space="preserve"> about the effectiveness of the disclosure controls and procedures based on our evaluation as of the Evaluation Date;</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5. The registrant's other certifying officers and I have disclosed, based on our most recent evaluation, to the registrant's auditors and</w:t>
      </w:r>
      <w:r w:rsidRPr="00A727E1">
        <w:rPr>
          <w:rFonts w:ascii="Times New Roman" w:hAnsi="Times New Roman"/>
          <w:color w:val="000000"/>
          <w:sz w:val="20"/>
          <w:szCs w:val="20"/>
        </w:rPr>
        <w:t xml:space="preserve"> the audit committee of registrant's board of directors (or persons performing the equivalent function):</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a.           all significant deficiencies in the design or operation of internal controls which could adversely affect the registrant's ability to rec</w:t>
      </w:r>
      <w:r w:rsidRPr="00A727E1">
        <w:rPr>
          <w:rFonts w:ascii="Times New Roman" w:hAnsi="Times New Roman"/>
          <w:color w:val="000000"/>
          <w:sz w:val="20"/>
          <w:szCs w:val="20"/>
        </w:rPr>
        <w:t>ord, process, summarize and report financial data and have identified for the registrant's auditors any material weaknesses in internal controls; and</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proofErr w:type="gramStart"/>
      <w:r w:rsidRPr="00A727E1">
        <w:rPr>
          <w:rFonts w:ascii="Times New Roman" w:hAnsi="Times New Roman"/>
          <w:color w:val="000000"/>
          <w:sz w:val="20"/>
          <w:szCs w:val="20"/>
        </w:rPr>
        <w:t>b</w:t>
      </w:r>
      <w:proofErr w:type="gramEnd"/>
      <w:r w:rsidRPr="00A727E1">
        <w:rPr>
          <w:rFonts w:ascii="Times New Roman" w:hAnsi="Times New Roman"/>
          <w:color w:val="000000"/>
          <w:sz w:val="20"/>
          <w:szCs w:val="20"/>
        </w:rPr>
        <w:t>.           any fraud, whether or not material, that involves management or other employees who have a si</w:t>
      </w:r>
      <w:r w:rsidRPr="00A727E1">
        <w:rPr>
          <w:rFonts w:ascii="Times New Roman" w:hAnsi="Times New Roman"/>
          <w:color w:val="000000"/>
          <w:sz w:val="20"/>
          <w:szCs w:val="20"/>
        </w:rPr>
        <w:t>gnificant role in the registrant's internal controls; and</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6. The registrant's other certifying officers and I have indicated in this quarterly report whether or not there were significant changes in internal controls or in other factors that could significantly affect internal controls subsequent to the date of o</w:t>
      </w:r>
      <w:r w:rsidRPr="00A727E1">
        <w:rPr>
          <w:rFonts w:ascii="Times New Roman" w:hAnsi="Times New Roman"/>
          <w:color w:val="000000"/>
          <w:sz w:val="20"/>
          <w:szCs w:val="20"/>
        </w:rPr>
        <w:t>ur most recent evaluation, including any corrective actions with regard to significant deficiencies and material weaknesses.</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Date:  May 20, 2013</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u w:val="single" w:color="000000"/>
        </w:rPr>
        <w:t>/s/ Paul S. Moller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Acting Chief Financial Officer</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serif" w:hAnsi="serif" w:cs="serif"/>
          <w:color w:val="000000"/>
          <w:sz w:val="20"/>
          <w:szCs w:val="20"/>
        </w:rPr>
        <w:t> </w:t>
      </w:r>
    </w:p>
    <w:p w:rsid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serif" w:hAnsi="serif" w:cs="serif"/>
          <w:color w:val="000000"/>
          <w:sz w:val="20"/>
          <w:szCs w:val="20"/>
        </w:rPr>
        <w:t> </w:t>
      </w:r>
    </w:p>
    <w:p w:rsidR="00000000" w:rsidRPr="00A727E1" w:rsidRDefault="00A727E1">
      <w:pPr>
        <w:widowControl w:val="0"/>
        <w:autoSpaceDE w:val="0"/>
        <w:autoSpaceDN w:val="0"/>
        <w:adjustRightInd w:val="0"/>
        <w:spacing w:after="0" w:line="240" w:lineRule="auto"/>
        <w:rPr>
          <w:rFonts w:ascii="serif" w:hAnsi="serif" w:cs="serif"/>
          <w:color w:val="000000"/>
          <w:sz w:val="20"/>
          <w:szCs w:val="20"/>
        </w:rPr>
      </w:pPr>
      <w:r>
        <w:rPr>
          <w:rFonts w:ascii="serif" w:hAnsi="serif" w:cs="serif"/>
          <w:color w:val="000000"/>
          <w:sz w:val="20"/>
          <w:szCs w:val="20"/>
        </w:rPr>
        <w:br w:type="page"/>
      </w:r>
    </w:p>
    <w:p w:rsidR="00000000" w:rsidRPr="00A727E1" w:rsidRDefault="00E13FC6">
      <w:pPr>
        <w:widowControl w:val="0"/>
        <w:autoSpaceDE w:val="0"/>
        <w:autoSpaceDN w:val="0"/>
        <w:adjustRightInd w:val="0"/>
        <w:spacing w:after="0" w:line="240" w:lineRule="auto"/>
        <w:jc w:val="right"/>
        <w:rPr>
          <w:rFonts w:ascii="serif" w:hAnsi="serif" w:cs="serif"/>
          <w:color w:val="000000"/>
          <w:sz w:val="20"/>
          <w:szCs w:val="20"/>
        </w:rPr>
      </w:pPr>
      <w:r w:rsidRPr="00A727E1">
        <w:rPr>
          <w:rFonts w:ascii="Times New Roman" w:hAnsi="Times New Roman"/>
          <w:b/>
          <w:bCs/>
          <w:color w:val="000000"/>
          <w:sz w:val="20"/>
          <w:szCs w:val="20"/>
        </w:rPr>
        <w:t>EXHIBIT 32.1</w:t>
      </w: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b/>
          <w:bCs/>
          <w:color w:val="000000"/>
          <w:sz w:val="20"/>
          <w:szCs w:val="20"/>
        </w:rPr>
        <w:t>CERTIFICAT</w:t>
      </w:r>
      <w:r w:rsidRPr="00A727E1">
        <w:rPr>
          <w:rFonts w:ascii="Times New Roman" w:hAnsi="Times New Roman"/>
          <w:b/>
          <w:bCs/>
          <w:color w:val="000000"/>
          <w:sz w:val="20"/>
          <w:szCs w:val="20"/>
        </w:rPr>
        <w:t>ION OF CEO</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b/>
          <w:bCs/>
          <w:color w:val="000000"/>
          <w:sz w:val="20"/>
          <w:szCs w:val="20"/>
        </w:rPr>
        <w:t>CERTIFICATION OF CEO PURSUANT TO 18 U.S.C. SECTION 1350, AS ADOPTED</w:t>
      </w: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b/>
          <w:bCs/>
          <w:color w:val="000000"/>
          <w:sz w:val="20"/>
          <w:szCs w:val="20"/>
        </w:rPr>
        <w:t>PURSUANT TO SECTION 906 OF THE SARBANES-OXLEY ACT OF 2002</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In connection with the Quarterly Report of Moller International (the "Company") on Form 10-Q for the nine-months en</w:t>
      </w:r>
      <w:r w:rsidRPr="00A727E1">
        <w:rPr>
          <w:rFonts w:ascii="Times New Roman" w:hAnsi="Times New Roman"/>
          <w:color w:val="000000"/>
          <w:sz w:val="20"/>
          <w:szCs w:val="20"/>
        </w:rPr>
        <w:t xml:space="preserve">ded March 31, 2013 as filed with the Securities and Exchange commission on the date hereof (the "Report), Paul S. Moller, as Chief Executive Officer of the Company hereby certifies, pursuant to 18 U.S.C. Section 1350, as adopted pursuant to Section 906 of </w:t>
      </w:r>
      <w:r w:rsidRPr="00A727E1">
        <w:rPr>
          <w:rFonts w:ascii="Times New Roman" w:hAnsi="Times New Roman"/>
          <w:color w:val="000000"/>
          <w:sz w:val="20"/>
          <w:szCs w:val="20"/>
        </w:rPr>
        <w:t>the Sarbanes-Oxley Act of 2002, to the Best of his knowledge, that:</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(1)           The Report fully complies with the requirements of section 13(a) of the Securities Exchange Act of 1934; and</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(2)           </w:t>
      </w:r>
      <w:r w:rsidRPr="00A727E1">
        <w:rPr>
          <w:rFonts w:ascii="Times New Roman" w:hAnsi="Times New Roman"/>
          <w:color w:val="000000"/>
          <w:sz w:val="20"/>
          <w:szCs w:val="20"/>
        </w:rPr>
        <w:t>The information contained in the Report fairly presents, in all material respects, the financial condition and results of operations of the Company.</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Date: May 20, 2013</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Signed:</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u w:val="single" w:color="000000"/>
        </w:rPr>
        <w:t>/s/ Paul S. Moller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Chief Executive Officer</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serif" w:hAnsi="serif" w:cs="serif"/>
          <w:color w:val="000000"/>
          <w:sz w:val="20"/>
          <w:szCs w:val="20"/>
        </w:rPr>
        <w:t> </w:t>
      </w:r>
    </w:p>
    <w:p w:rsid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serif" w:hAnsi="serif" w:cs="serif"/>
          <w:color w:val="000000"/>
          <w:sz w:val="20"/>
          <w:szCs w:val="20"/>
        </w:rPr>
        <w:t> </w:t>
      </w:r>
    </w:p>
    <w:p w:rsidR="00000000" w:rsidRPr="00A727E1" w:rsidRDefault="00A727E1">
      <w:pPr>
        <w:widowControl w:val="0"/>
        <w:autoSpaceDE w:val="0"/>
        <w:autoSpaceDN w:val="0"/>
        <w:adjustRightInd w:val="0"/>
        <w:spacing w:after="0" w:line="240" w:lineRule="auto"/>
        <w:rPr>
          <w:rFonts w:ascii="serif" w:hAnsi="serif" w:cs="serif"/>
          <w:color w:val="000000"/>
          <w:sz w:val="20"/>
          <w:szCs w:val="20"/>
        </w:rPr>
      </w:pPr>
      <w:r>
        <w:rPr>
          <w:rFonts w:ascii="serif" w:hAnsi="serif" w:cs="serif"/>
          <w:color w:val="000000"/>
          <w:sz w:val="20"/>
          <w:szCs w:val="20"/>
        </w:rPr>
        <w:br w:type="page"/>
      </w:r>
      <w:bookmarkStart w:id="0" w:name="_GoBack"/>
      <w:bookmarkEnd w:id="0"/>
    </w:p>
    <w:p w:rsidR="00000000" w:rsidRPr="00A727E1" w:rsidRDefault="00E13FC6">
      <w:pPr>
        <w:widowControl w:val="0"/>
        <w:autoSpaceDE w:val="0"/>
        <w:autoSpaceDN w:val="0"/>
        <w:adjustRightInd w:val="0"/>
        <w:spacing w:after="0" w:line="240" w:lineRule="auto"/>
        <w:jc w:val="right"/>
        <w:rPr>
          <w:rFonts w:ascii="serif" w:hAnsi="serif" w:cs="serif"/>
          <w:color w:val="000000"/>
          <w:sz w:val="20"/>
          <w:szCs w:val="20"/>
        </w:rPr>
      </w:pPr>
      <w:r w:rsidRPr="00A727E1">
        <w:rPr>
          <w:rFonts w:ascii="Times New Roman" w:hAnsi="Times New Roman"/>
          <w:b/>
          <w:bCs/>
          <w:color w:val="000000"/>
          <w:sz w:val="20"/>
          <w:szCs w:val="20"/>
        </w:rPr>
        <w:t>EXHIBIT 32.2</w:t>
      </w:r>
    </w:p>
    <w:p w:rsidR="00000000" w:rsidRPr="00A727E1" w:rsidRDefault="00E13FC6">
      <w:pPr>
        <w:widowControl w:val="0"/>
        <w:autoSpaceDE w:val="0"/>
        <w:autoSpaceDN w:val="0"/>
        <w:adjustRightInd w:val="0"/>
        <w:spacing w:after="0" w:line="240" w:lineRule="auto"/>
        <w:jc w:val="right"/>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b/>
          <w:bCs/>
          <w:color w:val="000000"/>
          <w:sz w:val="20"/>
          <w:szCs w:val="20"/>
        </w:rPr>
        <w:t>CERTIFICATION OF CFO</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b/>
          <w:bCs/>
          <w:color w:val="000000"/>
          <w:sz w:val="20"/>
          <w:szCs w:val="20"/>
        </w:rPr>
        <w:t>CERTIFICATION OF CEO PURSUANT TO 18 U.S.C. SECTION 1350, AS ADOPTED</w:t>
      </w:r>
    </w:p>
    <w:p w:rsidR="00000000" w:rsidRPr="00A727E1" w:rsidRDefault="00E13FC6">
      <w:pPr>
        <w:widowControl w:val="0"/>
        <w:autoSpaceDE w:val="0"/>
        <w:autoSpaceDN w:val="0"/>
        <w:adjustRightInd w:val="0"/>
        <w:spacing w:after="0" w:line="240" w:lineRule="auto"/>
        <w:jc w:val="center"/>
        <w:rPr>
          <w:rFonts w:ascii="serif" w:hAnsi="serif" w:cs="serif"/>
          <w:color w:val="000000"/>
          <w:sz w:val="20"/>
          <w:szCs w:val="20"/>
        </w:rPr>
      </w:pPr>
      <w:r w:rsidRPr="00A727E1">
        <w:rPr>
          <w:rFonts w:ascii="Times New Roman" w:hAnsi="Times New Roman"/>
          <w:b/>
          <w:bCs/>
          <w:color w:val="000000"/>
          <w:sz w:val="20"/>
          <w:szCs w:val="20"/>
        </w:rPr>
        <w:t>PURSUANT TO SECTION 906 OF THE SARBANES-OXLEY ACT OF 2002</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In connection with the Quarterly Report of Moller International (the "Company") on Form 10-Q for the six-months ended March 31, 2013 as filed with the Securities and Exchange commission on the date hereof (the "Report), Paul S. Moller, as Chief Financial O</w:t>
      </w:r>
      <w:r w:rsidRPr="00A727E1">
        <w:rPr>
          <w:rFonts w:ascii="Times New Roman" w:hAnsi="Times New Roman"/>
          <w:color w:val="000000"/>
          <w:sz w:val="20"/>
          <w:szCs w:val="20"/>
        </w:rPr>
        <w:t>fficer of the Company hereby certifies, pursuant to 18 U.S.C. Section 1350, as adopted pursuant to Section 906 of the Sarbanes-Oxley Act of 2002, to the Best of his knowledge, that:</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(1)           The Report fully complies w</w:t>
      </w:r>
      <w:r w:rsidRPr="00A727E1">
        <w:rPr>
          <w:rFonts w:ascii="Times New Roman" w:hAnsi="Times New Roman"/>
          <w:color w:val="000000"/>
          <w:sz w:val="20"/>
          <w:szCs w:val="20"/>
        </w:rPr>
        <w:t>ith the requirements of section 13(a) of the Securities Exchange Act of 1934; and</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(2)           The information contained in the Report fairly presents, in all material respects, the financial condition and results of operations of the Company.</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Date: M</w:t>
      </w:r>
      <w:r w:rsidRPr="00A727E1">
        <w:rPr>
          <w:rFonts w:ascii="Times New Roman" w:hAnsi="Times New Roman"/>
          <w:color w:val="000000"/>
          <w:sz w:val="20"/>
          <w:szCs w:val="20"/>
        </w:rPr>
        <w:t>ay 20, 2013</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Signed:</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u w:val="single" w:color="000000"/>
        </w:rPr>
        <w:t>/s/ Paul S. Moller                             </w:t>
      </w:r>
    </w:p>
    <w:p w:rsidR="00000000" w:rsidRPr="00A727E1" w:rsidRDefault="00E13FC6">
      <w:pPr>
        <w:widowControl w:val="0"/>
        <w:autoSpaceDE w:val="0"/>
        <w:autoSpaceDN w:val="0"/>
        <w:adjustRightInd w:val="0"/>
        <w:spacing w:after="0" w:line="240" w:lineRule="auto"/>
        <w:rPr>
          <w:rFonts w:ascii="serif" w:hAnsi="serif" w:cs="serif"/>
          <w:color w:val="000000"/>
          <w:sz w:val="20"/>
          <w:szCs w:val="20"/>
        </w:rPr>
      </w:pPr>
      <w:r w:rsidRPr="00A727E1">
        <w:rPr>
          <w:rFonts w:ascii="Times New Roman" w:hAnsi="Times New Roman"/>
          <w:color w:val="000000"/>
          <w:sz w:val="20"/>
          <w:szCs w:val="20"/>
        </w:rPr>
        <w:t>Acting Chief Financial Officer</w:t>
      </w: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000000" w:rsidRPr="00A727E1" w:rsidRDefault="00E13FC6">
      <w:pPr>
        <w:widowControl w:val="0"/>
        <w:tabs>
          <w:tab w:val="left" w:pos="10002"/>
        </w:tabs>
        <w:autoSpaceDE w:val="0"/>
        <w:autoSpaceDN w:val="0"/>
        <w:adjustRightInd w:val="0"/>
        <w:spacing w:after="0" w:line="240" w:lineRule="auto"/>
        <w:rPr>
          <w:rFonts w:ascii="serif" w:hAnsi="serif" w:cs="serif"/>
          <w:color w:val="000000"/>
          <w:sz w:val="20"/>
          <w:szCs w:val="20"/>
        </w:rPr>
      </w:pPr>
    </w:p>
    <w:p w:rsidR="00E13FC6" w:rsidRPr="00A727E1" w:rsidRDefault="00E13FC6">
      <w:pPr>
        <w:widowControl w:val="0"/>
        <w:autoSpaceDE w:val="0"/>
        <w:autoSpaceDN w:val="0"/>
        <w:adjustRightInd w:val="0"/>
        <w:spacing w:after="0" w:line="240" w:lineRule="auto"/>
        <w:rPr>
          <w:rFonts w:ascii="serif" w:hAnsi="serif" w:cs="serif"/>
          <w:color w:val="000000"/>
          <w:sz w:val="20"/>
          <w:szCs w:val="20"/>
        </w:rPr>
      </w:pPr>
    </w:p>
    <w:sectPr w:rsidR="00E13FC6" w:rsidRPr="00A727E1">
      <w:headerReference w:type="default" r:id="rId34"/>
      <w:footerReference w:type="default" r:id="rId35"/>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FC6" w:rsidRDefault="00E13FC6">
      <w:pPr>
        <w:spacing w:after="0" w:line="240" w:lineRule="auto"/>
      </w:pPr>
      <w:r>
        <w:separator/>
      </w:r>
    </w:p>
  </w:endnote>
  <w:endnote w:type="continuationSeparator" w:id="0">
    <w:p w:rsidR="00E13FC6" w:rsidRDefault="00E13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rif">
    <w:altName w:val="Times New Roman"/>
    <w:panose1 w:val="00000000000000000000"/>
    <w:charset w:val="CC"/>
    <w:family w:val="auto"/>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3FC6">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olor w:val="000000"/>
        <w:sz w:val="16"/>
        <w:szCs w:val="16"/>
      </w:rPr>
      <w:t xml:space="preserve">  </w:t>
    </w:r>
  </w:p>
  <w:p w:rsidR="00000000" w:rsidRDefault="00E13FC6">
    <w:pPr>
      <w:widowControl w:val="0"/>
      <w:autoSpaceDE w:val="0"/>
      <w:autoSpaceDN w:val="0"/>
      <w:adjustRightInd w:val="0"/>
      <w:spacing w:after="0" w:line="240" w:lineRule="auto"/>
      <w:jc w:val="center"/>
      <w:rPr>
        <w:rFonts w:ascii="serif" w:hAnsi="serif" w:cs="serif"/>
        <w:color w:val="000000"/>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3FC6">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olor w:val="000000"/>
        <w:sz w:val="16"/>
        <w:szCs w:val="16"/>
      </w:rPr>
      <w:t xml:space="preserve">  </w:t>
    </w:r>
  </w:p>
  <w:p w:rsidR="00000000" w:rsidRDefault="00E13FC6">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7E1" w:rsidRDefault="00A727E1">
    <w:pPr>
      <w:widowControl w:val="0"/>
      <w:autoSpaceDE w:val="0"/>
      <w:autoSpaceDN w:val="0"/>
      <w:adjustRightInd w:val="0"/>
      <w:spacing w:after="0" w:line="240" w:lineRule="auto"/>
      <w:jc w:val="center"/>
      <w:rPr>
        <w:rFonts w:ascii="serif" w:hAnsi="serif" w:cs="serif"/>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3FC6">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olor w:val="000000"/>
        <w:sz w:val="16"/>
        <w:szCs w:val="16"/>
      </w:rPr>
      <w:t xml:space="preserve">  </w:t>
    </w:r>
  </w:p>
  <w:p w:rsidR="00000000" w:rsidRDefault="00E13FC6">
    <w:pPr>
      <w:widowControl w:val="0"/>
      <w:autoSpaceDE w:val="0"/>
      <w:autoSpaceDN w:val="0"/>
      <w:adjustRightInd w:val="0"/>
      <w:spacing w:after="0" w:line="240" w:lineRule="auto"/>
      <w:jc w:val="center"/>
      <w:rPr>
        <w:rFonts w:ascii="serif" w:hAnsi="serif" w:cs="serif"/>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3FC6">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olor w:val="000000"/>
        <w:sz w:val="16"/>
        <w:szCs w:val="16"/>
      </w:rPr>
      <w:t xml:space="preserve">  </w:t>
    </w:r>
  </w:p>
  <w:p w:rsidR="00000000" w:rsidRDefault="00E13FC6">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3FC6">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olor w:val="000000"/>
        <w:sz w:val="16"/>
        <w:szCs w:val="16"/>
      </w:rPr>
      <w:t xml:space="preserve">  </w:t>
    </w:r>
  </w:p>
  <w:p w:rsidR="00000000" w:rsidRDefault="00E13FC6">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3FC6">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olor w:val="000000"/>
        <w:sz w:val="16"/>
        <w:szCs w:val="16"/>
      </w:rPr>
      <w:t xml:space="preserve">  </w:t>
    </w:r>
  </w:p>
  <w:p w:rsidR="00000000" w:rsidRDefault="00E13FC6">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3FC6">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olor w:val="000000"/>
        <w:sz w:val="16"/>
        <w:szCs w:val="16"/>
      </w:rPr>
      <w:t xml:space="preserve">  </w:t>
    </w:r>
  </w:p>
  <w:p w:rsidR="00000000" w:rsidRDefault="00E13FC6">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3FC6">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olor w:val="000000"/>
        <w:sz w:val="16"/>
        <w:szCs w:val="16"/>
      </w:rPr>
      <w:t xml:space="preserve">  </w:t>
    </w:r>
  </w:p>
  <w:p w:rsidR="00000000" w:rsidRDefault="00E13FC6">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3FC6">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olor w:val="000000"/>
        <w:sz w:val="16"/>
        <w:szCs w:val="16"/>
      </w:rPr>
      <w:t xml:space="preserve">  </w:t>
    </w:r>
  </w:p>
  <w:p w:rsidR="00000000" w:rsidRDefault="00E13FC6">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3FC6">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olor w:val="000000"/>
        <w:sz w:val="16"/>
        <w:szCs w:val="16"/>
      </w:rPr>
      <w:t xml:space="preserve">  </w:t>
    </w:r>
  </w:p>
  <w:p w:rsidR="00000000" w:rsidRDefault="00E13FC6">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FC6" w:rsidRDefault="00E13FC6">
      <w:pPr>
        <w:spacing w:after="0" w:line="240" w:lineRule="auto"/>
      </w:pPr>
      <w:r>
        <w:separator/>
      </w:r>
    </w:p>
  </w:footnote>
  <w:footnote w:type="continuationSeparator" w:id="0">
    <w:p w:rsidR="00E13FC6" w:rsidRDefault="00E13F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3FC6">
    <w:pPr>
      <w:widowControl w:val="0"/>
      <w:autoSpaceDE w:val="0"/>
      <w:autoSpaceDN w:val="0"/>
      <w:adjustRightInd w:val="0"/>
      <w:spacing w:after="0" w:line="240" w:lineRule="auto"/>
      <w:rPr>
        <w:rFonts w:ascii="Times" w:hAnsi="Times" w:cs="Times"/>
        <w:sz w:val="24"/>
        <w:szCs w:val="2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3FC6">
    <w:pPr>
      <w:widowControl w:val="0"/>
      <w:autoSpaceDE w:val="0"/>
      <w:autoSpaceDN w:val="0"/>
      <w:adjustRightInd w:val="0"/>
      <w:spacing w:after="0" w:line="240" w:lineRule="auto"/>
      <w:rPr>
        <w:rFonts w:ascii="serif" w:hAnsi="serif" w:cs="serif"/>
        <w:color w:val="000000"/>
        <w:sz w:val="20"/>
        <w:szCs w:val="20"/>
      </w:rPr>
    </w:pPr>
    <w:hyperlink w:anchor="toc" w:history="1">
      <w:r>
        <w:rPr>
          <w:rFonts w:ascii="Times New Roman" w:hAnsi="Times New Roman"/>
          <w:color w:val="0000FF"/>
          <w:sz w:val="16"/>
          <w:szCs w:val="16"/>
          <w:u w:val="single" w:color="0000FF"/>
        </w:rPr>
        <w:t>Table of Contents</w:t>
      </w:r>
    </w:hyperlink>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7E1" w:rsidRDefault="00A727E1">
    <w:pPr>
      <w:widowControl w:val="0"/>
      <w:autoSpaceDE w:val="0"/>
      <w:autoSpaceDN w:val="0"/>
      <w:adjustRightInd w:val="0"/>
      <w:spacing w:after="0" w:line="240" w:lineRule="auto"/>
      <w:rPr>
        <w:rFonts w:ascii="serif" w:hAnsi="serif" w:cs="serif"/>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3FC6">
    <w:pPr>
      <w:widowControl w:val="0"/>
      <w:autoSpaceDE w:val="0"/>
      <w:autoSpaceDN w:val="0"/>
      <w:adjustRightInd w:val="0"/>
      <w:spacing w:after="0" w:line="240" w:lineRule="auto"/>
      <w:rPr>
        <w:rFonts w:ascii="serif" w:hAnsi="serif" w:cs="serif"/>
        <w:color w:val="000000"/>
        <w:sz w:val="20"/>
        <w:szCs w:val="20"/>
      </w:rPr>
    </w:pPr>
    <w:hyperlink w:anchor="toc" w:history="1">
      <w:r>
        <w:rPr>
          <w:rFonts w:ascii="Times New Roman" w:hAnsi="Times New Roman"/>
          <w:color w:val="0000FF"/>
          <w:sz w:val="16"/>
          <w:szCs w:val="16"/>
          <w:u w:val="single" w:color="0000FF"/>
        </w:rPr>
        <w:t>Table of Contents</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3FC6">
    <w:pPr>
      <w:widowControl w:val="0"/>
      <w:autoSpaceDE w:val="0"/>
      <w:autoSpaceDN w:val="0"/>
      <w:adjustRightInd w:val="0"/>
      <w:spacing w:after="0" w:line="240" w:lineRule="auto"/>
      <w:rPr>
        <w:rFonts w:ascii="serif" w:hAnsi="serif" w:cs="serif"/>
        <w:color w:val="000000"/>
        <w:sz w:val="20"/>
        <w:szCs w:val="20"/>
      </w:rPr>
    </w:pPr>
    <w:hyperlink w:anchor="toc" w:history="1">
      <w:r>
        <w:rPr>
          <w:rFonts w:ascii="Times New Roman" w:hAnsi="Times New Roman"/>
          <w:color w:val="0000FF"/>
          <w:sz w:val="16"/>
          <w:szCs w:val="16"/>
          <w:u w:val="single" w:color="0000FF"/>
        </w:rPr>
        <w:t>Table of Contents</w:t>
      </w:r>
    </w:hyperlink>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3FC6">
    <w:pPr>
      <w:widowControl w:val="0"/>
      <w:autoSpaceDE w:val="0"/>
      <w:autoSpaceDN w:val="0"/>
      <w:adjustRightInd w:val="0"/>
      <w:spacing w:after="0" w:line="240" w:lineRule="auto"/>
      <w:rPr>
        <w:rFonts w:ascii="serif" w:hAnsi="serif" w:cs="serif"/>
        <w:color w:val="000000"/>
        <w:sz w:val="20"/>
        <w:szCs w:val="20"/>
      </w:rPr>
    </w:pPr>
    <w:hyperlink w:anchor="toc" w:history="1">
      <w:r>
        <w:rPr>
          <w:rFonts w:ascii="Times New Roman" w:hAnsi="Times New Roman"/>
          <w:color w:val="0000FF"/>
          <w:sz w:val="16"/>
          <w:szCs w:val="16"/>
          <w:u w:val="single" w:color="0000FF"/>
        </w:rPr>
        <w:t>Table of Contents</w:t>
      </w:r>
    </w:hyperlink>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3FC6">
    <w:pPr>
      <w:widowControl w:val="0"/>
      <w:autoSpaceDE w:val="0"/>
      <w:autoSpaceDN w:val="0"/>
      <w:adjustRightInd w:val="0"/>
      <w:spacing w:after="0" w:line="240" w:lineRule="auto"/>
      <w:rPr>
        <w:rFonts w:ascii="serif" w:hAnsi="serif" w:cs="serif"/>
        <w:color w:val="000000"/>
        <w:sz w:val="20"/>
        <w:szCs w:val="20"/>
      </w:rPr>
    </w:pPr>
    <w:hyperlink w:anchor="toc" w:history="1">
      <w:r>
        <w:rPr>
          <w:rFonts w:ascii="Times New Roman" w:hAnsi="Times New Roman"/>
          <w:color w:val="0000FF"/>
          <w:sz w:val="16"/>
          <w:szCs w:val="16"/>
          <w:u w:val="single" w:color="0000FF"/>
        </w:rPr>
        <w:t>Table of Contents</w:t>
      </w:r>
    </w:hyperlink>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3FC6">
    <w:pPr>
      <w:widowControl w:val="0"/>
      <w:autoSpaceDE w:val="0"/>
      <w:autoSpaceDN w:val="0"/>
      <w:adjustRightInd w:val="0"/>
      <w:spacing w:after="0" w:line="240" w:lineRule="auto"/>
      <w:rPr>
        <w:rFonts w:ascii="serif" w:hAnsi="serif" w:cs="serif"/>
        <w:color w:val="000000"/>
        <w:sz w:val="20"/>
        <w:szCs w:val="20"/>
      </w:rPr>
    </w:pPr>
    <w:hyperlink w:anchor="toc" w:history="1">
      <w:r>
        <w:rPr>
          <w:rFonts w:ascii="Times New Roman" w:hAnsi="Times New Roman"/>
          <w:color w:val="0000FF"/>
          <w:sz w:val="16"/>
          <w:szCs w:val="16"/>
          <w:u w:val="single" w:color="0000FF"/>
        </w:rPr>
        <w:t>Table of Contents</w:t>
      </w:r>
    </w:hyperlink>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3FC6">
    <w:pPr>
      <w:widowControl w:val="0"/>
      <w:autoSpaceDE w:val="0"/>
      <w:autoSpaceDN w:val="0"/>
      <w:adjustRightInd w:val="0"/>
      <w:spacing w:after="0" w:line="240" w:lineRule="auto"/>
      <w:rPr>
        <w:rFonts w:ascii="serif" w:hAnsi="serif" w:cs="serif"/>
        <w:color w:val="000000"/>
        <w:sz w:val="20"/>
        <w:szCs w:val="20"/>
      </w:rPr>
    </w:pPr>
    <w:hyperlink w:anchor="toc" w:history="1">
      <w:r>
        <w:rPr>
          <w:rFonts w:ascii="Times New Roman" w:hAnsi="Times New Roman"/>
          <w:color w:val="0000FF"/>
          <w:sz w:val="16"/>
          <w:szCs w:val="16"/>
          <w:u w:val="single" w:color="0000FF"/>
        </w:rPr>
        <w:t>Table of Contents</w:t>
      </w:r>
    </w:hyperlink>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3FC6">
    <w:pPr>
      <w:widowControl w:val="0"/>
      <w:autoSpaceDE w:val="0"/>
      <w:autoSpaceDN w:val="0"/>
      <w:adjustRightInd w:val="0"/>
      <w:spacing w:after="0" w:line="240" w:lineRule="auto"/>
      <w:rPr>
        <w:rFonts w:ascii="serif" w:hAnsi="serif" w:cs="serif"/>
        <w:color w:val="000000"/>
        <w:sz w:val="20"/>
        <w:szCs w:val="20"/>
      </w:rPr>
    </w:pPr>
    <w:hyperlink w:anchor="toc" w:history="1">
      <w:r>
        <w:rPr>
          <w:rFonts w:ascii="Times New Roman" w:hAnsi="Times New Roman"/>
          <w:color w:val="0000FF"/>
          <w:sz w:val="16"/>
          <w:szCs w:val="16"/>
          <w:u w:val="single" w:color="0000FF"/>
        </w:rPr>
        <w:t>Table of Contents</w:t>
      </w:r>
    </w:hyperlink>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3FC6">
    <w:pPr>
      <w:widowControl w:val="0"/>
      <w:autoSpaceDE w:val="0"/>
      <w:autoSpaceDN w:val="0"/>
      <w:adjustRightInd w:val="0"/>
      <w:spacing w:after="0" w:line="240" w:lineRule="auto"/>
      <w:rPr>
        <w:rFonts w:ascii="serif" w:hAnsi="serif" w:cs="serif"/>
        <w:color w:val="000000"/>
        <w:sz w:val="20"/>
        <w:szCs w:val="20"/>
      </w:rPr>
    </w:pPr>
    <w:hyperlink w:anchor="toc" w:history="1">
      <w:r>
        <w:rPr>
          <w:rFonts w:ascii="Times New Roman" w:hAnsi="Times New Roman"/>
          <w:color w:val="0000FF"/>
          <w:sz w:val="16"/>
          <w:szCs w:val="16"/>
          <w:u w:val="single" w:color="0000FF"/>
        </w:rPr>
        <w:t>Table of Contents</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58CC"/>
    <w:rsid w:val="00A727E1"/>
    <w:rsid w:val="00BC58CC"/>
    <w:rsid w:val="00E13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134561-A7E6-47B9-B364-D0DD7D52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7E1"/>
    <w:pPr>
      <w:tabs>
        <w:tab w:val="center" w:pos="4680"/>
        <w:tab w:val="right" w:pos="9360"/>
      </w:tabs>
    </w:pPr>
  </w:style>
  <w:style w:type="character" w:customStyle="1" w:styleId="HeaderChar">
    <w:name w:val="Header Char"/>
    <w:basedOn w:val="DefaultParagraphFont"/>
    <w:link w:val="Header"/>
    <w:uiPriority w:val="99"/>
    <w:rsid w:val="00A727E1"/>
  </w:style>
  <w:style w:type="paragraph" w:styleId="Footer">
    <w:name w:val="footer"/>
    <w:basedOn w:val="Normal"/>
    <w:link w:val="FooterChar"/>
    <w:uiPriority w:val="99"/>
    <w:unhideWhenUsed/>
    <w:rsid w:val="00A727E1"/>
    <w:pPr>
      <w:tabs>
        <w:tab w:val="center" w:pos="4680"/>
        <w:tab w:val="right" w:pos="9360"/>
      </w:tabs>
    </w:pPr>
  </w:style>
  <w:style w:type="character" w:customStyle="1" w:styleId="FooterChar">
    <w:name w:val="Footer Char"/>
    <w:basedOn w:val="DefaultParagraphFont"/>
    <w:link w:val="Footer"/>
    <w:uiPriority w:val="99"/>
    <w:rsid w:val="00A72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hitney\Desktop\Federal%20Filings%20Clients\Moller%20International\2013\10-Q%2003-31-2013\Filed\ex31-1.htm" TargetMode="Externa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file:///C:\Users\Whitney\Desktop\Federal%20Filings%20Clients\Moller%20International\2013\10-Q%2003-31-2013\Filed\ex31-1.htm" TargetMode="External"/><Relationship Id="rId3" Type="http://schemas.openxmlformats.org/officeDocument/2006/relationships/webSettings" Target="webSettings.xml"/><Relationship Id="rId21" Type="http://schemas.openxmlformats.org/officeDocument/2006/relationships/footer" Target="footer6.xml"/><Relationship Id="rId34"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0.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file:///C:\Users\Whitney\Desktop\Federal%20Filings%20Clients\Moller%20International\2013\10-Q%2003-31-2013\Filed\ex32-2.htm"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file:///C:\Users\Whitney\Desktop\Federal%20Filings%20Clients\Moller%20International\2013\10-Q%2003-31-2013\Filed\ex32-2.htm" TargetMode="External"/><Relationship Id="rId24" Type="http://schemas.openxmlformats.org/officeDocument/2006/relationships/header" Target="header8.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yperlink" Target="file:///C:\Users\Whitney\Desktop\Federal%20Filings%20Clients\Moller%20International\2013\10-Q%2003-31-2013\Filed\ex32-1.htm" TargetMode="External"/><Relationship Id="rId36" Type="http://schemas.openxmlformats.org/officeDocument/2006/relationships/fontTable" Target="fontTable.xml"/><Relationship Id="rId10" Type="http://schemas.openxmlformats.org/officeDocument/2006/relationships/hyperlink" Target="file:///C:\Users\Whitney\Desktop\Federal%20Filings%20Clients\Moller%20International\2013\10-Q%2003-31-2013\Filed\ex32-1.htm" TargetMode="Externa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footnotes" Target="footnotes.xml"/><Relationship Id="rId9" Type="http://schemas.openxmlformats.org/officeDocument/2006/relationships/hyperlink" Target="file:///C:\Users\Whitney\Desktop\Federal%20Filings%20Clients\Moller%20International\2013\10-Q%2003-31-2013\Filed\ex31-2.htm"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file:///C:\Users\Whitney\Desktop\Federal%20Filings%20Clients\Moller%20International\2013\10-Q%2003-31-2013\Filed\ex31-2.htm" TargetMode="External"/><Relationship Id="rId30" Type="http://schemas.openxmlformats.org/officeDocument/2006/relationships/header" Target="header9.xml"/><Relationship Id="rId35"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5333</Words>
  <Characters>30401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Braun</dc:creator>
  <cp:keywords/>
  <dc:description/>
  <cp:lastModifiedBy>Whitney Braun</cp:lastModifiedBy>
  <cp:revision>3</cp:revision>
  <dcterms:created xsi:type="dcterms:W3CDTF">2013-05-20T18:03:00Z</dcterms:created>
  <dcterms:modified xsi:type="dcterms:W3CDTF">2013-05-20T18:04:00Z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EDGARfilings HTML to RTF Converter</vt:lpwstr>
  </property>
</Properties>
</file>